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SB.2022.103 vom 4. Oktober 2023</w:t>
      </w:r>
    </w:p>
    <w:p>
      <w:r>
        <w:t>BS Appellationsgericht, 2023-10-04, DE</w:t>
      </w:r>
    </w:p>
    <w:p>
      <w:r>
        <w:rPr>
          <w:b/>
        </w:rPr>
        <w:t xml:space="preserve">Quelle: </w:t>
      </w:r>
      <w:r>
        <w:t>https://mcp.opencaselaw.ch/entscheid/bs_appellationsgericht_SB.2022.103</w:t>
      </w:r>
    </w:p>
    <w:p>
      <w:r>
        <w:t>FR: BS_APPELLATIONSGERICHT SB.2022.103 du 4 octobre 2023</w:t>
      </w:r>
    </w:p>
    <w:p>
      <w:r>
        <w:t>IT: BS_APPELLATIONSGERICHT SB.2022.103 del 4 ottobre 2023</w:t>
      </w:r>
    </w:p>
    <w:p>
      <w:pPr>
        <w:pStyle w:val="Heading2"/>
      </w:pPr>
      <w:r>
        <w:t>Erwägungen</w:t>
      </w:r>
    </w:p>
    <w:p>
      <w:r>
        <w:rPr>
          <w:b/>
        </w:rPr>
        <w:t>E. 18</w:t>
      </w:r>
    </w:p>
    <w:p>
      <w:r>
        <w:t>März 2020 E. 3.2, mit weiteren Hinweisen).</w:t>
      </w:r>
    </w:p>
    <w:p>
      <w:r>
        <w:t>5.1.1Die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        Es wird festgestellt, dass folgende Punkte des Urteils des Strafdreiergerichts vom 10. Mai 2022 mangels Anfechtungin Rechtskraft erwachsensind:</w:t>
      </w:r>
    </w:p>
    <w:p>
      <w:r>
        <w:t>A____ wird in Abweisung seiner Berufung der Widerhandlung gegen das Übertretungsstrafgesetz des Kantons Basel-Stadt (Diensterschwerung) schuldig erklärt und verurteilt zu einerBusse von CHF 400., (bei schuldhafter Nichtbezahlung 4 Tage Ersatzfreiheitsstrafe),</w:t>
      </w:r>
    </w:p>
    <w:p>
      <w:r>
        <w:t>in Anwendung von § 16 des Übertretungsstrafgesetzes des Kantons Basel‑Stadt (Stand am 6. Februar 2020) und Art. 106 des Strafgesetzbuches.</w:t>
      </w:r>
    </w:p>
    <w:p>
      <w:r>
        <w:t>B____ wird in Abweisung seiner Berufung der Übertretung der Verordnung 2 über Massnahmen zur Bekämpfung des Coronavirus (Stand am 24. April 2020, COVID‑19‑Verordnung 2) schuldig erklärt verurteilt zu einerBusse von CHF 100., (bei schuldhafter Nichtbezahlung 1 Tag Ersatzfreiheitsstrafe),</w:t>
      </w:r>
    </w:p>
    <w:p>
      <w:r>
        <w:t>in Anwendung von Art. 10f Abs. 2 lit. a in Verbindung mit Art. 7c Abs. 2 der COVID‑19‑Verordnung 2 (Stand am 24. April 2020) und Art. 106 des Strafgesetzbuches.</w:t>
      </w:r>
    </w:p>
    <w:p>
      <w:r>
        <w:t>C____ wird in Abweisung seiner Berufung der Übertretung der Verordnung 2 über Massnahmen zur Bekämpfung des Coronavirus (Stand am 24. April 2020, COVID‑19‑Verordnung 2) schuldig erklärt verurteilt zu einerBusse von CHF 100., (bei schuldhafter Nichtbezahlung 1 Tag Ersatzfreiheitsstrafe),</w:t>
      </w:r>
    </w:p>
    <w:p>
      <w:r>
        <w:t>in Anwendung von Art. 10f Abs. 2 lit. a in Verbindung mit Art. 7c Abs. 2 der COVID‑19‑Verordnung 2 (Stand am 24. April 2020) und Art. 106 des Strafgesetzbuches.</w:t>
      </w:r>
    </w:p>
    <w:p>
      <w:r>
        <w:t>Die Berufungskläger tragen ihre persönlichen Verfahrenskosten (A____: CHF 355.30; B____: CHF 405.30; C____: CHF 405.30) und eine reduzierte Urteilsgebühr von je CHF 200. für das erstinstanzliche Verfahren sowie die Kosten des zweitinstanzlichen Verfahrens mit Einschluss einer Urteilsgebühr von je CHF 400. (inkl. Kanzleiauslagen, zuzüglich allfällige übrige Auslagen).</w:t>
      </w:r>
    </w:p>
    <w:p>
      <w:r>
        <w:t>Die von der Vorinstanz zugesprochene Parteientschädigung für das erstinstanzliche Verfahren wird belassen. Demnach wird den fünf vorinstanzlich Beurteilten, alle vertreten durch [...], eine reduzierte Parteientschädigung von CHF 5'000. (inkl. Auslagen und MWST) aus der Gerichtskasse zugesprochen.</w:t>
      </w:r>
    </w:p>
    <w:p>
      <w:r>
        <w:t>A____ wird für die im erstinstanzlichen Verfahren getätigten Aufwendungen durch [...] ausserdem eine reduzierte Parteientschädigung in Höhe von CHF 500. aus der Gerichtskasse zugesprochen (inkl. Auslagen und MWST).</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