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SB.2021.67 vom 13. Mai 2022</w:t>
      </w:r>
    </w:p>
    <w:p>
      <w:r>
        <w:t>BS Appellationsgericht, 2022-05-13, DE</w:t>
      </w:r>
    </w:p>
    <w:p>
      <w:r>
        <w:rPr>
          <w:b/>
        </w:rPr>
        <w:t xml:space="preserve">Quelle: </w:t>
      </w:r>
      <w:r>
        <w:t>https://mcp.opencaselaw.ch/entscheid/bs_appellationsgericht_SB.2021.67</w:t>
      </w:r>
    </w:p>
    <w:p>
      <w:r>
        <w:t>FR: BS_APPELLATIONSGERICHT SB.2021.67 du 13 mai 2022</w:t>
      </w:r>
    </w:p>
    <w:p>
      <w:r>
        <w:t>IT: BS_APPELLATIONSGERICHT SB.2021.67 del 13 maggio 2022</w:t>
      </w:r>
    </w:p>
    <w:p>
      <w:pPr>
        <w:pStyle w:val="Heading2"/>
      </w:pPr>
      <w:r>
        <w:t>Erwägungen</w:t>
      </w:r>
    </w:p>
    <w:p>
      <w:r>
        <w:rPr>
          <w:b/>
        </w:rPr>
        <w:t>E. 8</w:t>
      </w:r>
    </w:p>
    <w:p>
      <w:r>
        <w:t>September 2022; Akten S. 234 ff.).</w:t>
      </w:r>
    </w:p>
    <w:p>
      <w:r>
        <w:t>3.2.3Die Wahrnehmung von Strafaufgaben durch das Migrationsamt ist darüber hinaus auch in der kantonalen Gerichtspraxis anerkannt (AGE SB.2018.39 vom 14. Februar 2020 E. 3.1, SB.2013.60 vom 5. September 2014 E. 1.2, BES.2017.127 vom 9. November 2017 E. 3.3). Auch das Bundesgericht hat das Migrationsamt bereits als strafrechtliche Partei behandelt (BGer 6B_1112/2013 vom 20. März 2014) und hat dessen strafrechtliche Funktion bisher jedenfalls nicht beanstandet bzw. die Frage der Zuständigkeit offengelassen (BGer 6B_1139/2014 vom 28. April 2015 E. 1.3). Bei dieser Ausgangslage besteht kein Anlass, die vom kantonalen Gesetzgeber explizit so gewollte Zuständigkeitsordnung umzustossen. Das Migrationsamt ist in seiner Eigenschaft als Strafbehörde an den gesetzlichen Verfolgungszwang gemäss Art. 7 StPO gebunden und daher grundsätzlich zur Strafverfolgung verpflichtet. Die in der Literatur geäusserte Ansicht, das baselstädtische Migrationsamt sei keine Strafbehörde (Uebersax, Strafverfolgung bei Härtefällen widersprüchlich und unfair, in: plädoyer 6/2017 S. 20), erweist sich daher als unzutreffend.</w:t>
      </w:r>
    </w:p>
    <w:p>
      <w:r>
        <w:t>3.2.4Hinsichtlich der Verwertbarkeit der beim Migrationsamt getätigten Aussagen (vgl. dazu nachfolgend E. 4.2.1) wurde in AGE SB.2013.60 (E. 1.2) festgehalten, dass der dort Beschuldigte ‒ wie vorliegend ‒ vom Migrationsamt umfassend über die strafrechtlichen Vorwürfe aufgeklärt worden war und es ihm freigestanden hätte, eine erneute Befragung (inklusive Konfrontation) an der Hauptverhandlung zu verlangen. Eine solche wurde in casu jedoch gar nie verlangt, was angesichts der Tatsache, dass sowohl vor Straf- als auch vor Appellationsgericht eine Dispensation beantragt wurde, auch paradox gewesen wäre. Die Depositionen der Berufungsklägerin anlässlich ihrer Befragung beim Migrationsamt vom 15. September 2020 sind demnach verwertbar (Akten S. 40 ff.).</w:t>
      </w:r>
    </w:p>
    <w:p>
      <w:r>
        <w:t>4.Tatsächliches</w:t>
      </w:r>
    </w:p>
    <w:p>
      <w:r>
        <w:t>4.1      Ausgangslage</w:t>
      </w:r>
    </w:p>
    <w:p>
      <w:r>
        <w:t>4.2      Aussagen der Berufungsklägerin</w:t>
      </w:r>
    </w:p>
    <w:p>
      <w:r>
        <w:t>4.3      Aussagen Gfr C____</w:t>
      </w:r>
    </w:p>
    <w:p>
      <w:r>
        <w:t>4.4      Würdigung</w:t>
      </w:r>
    </w:p>
    <w:p>
      <w:r>
        <w:t>4.4.2Nach dem Gesagten ist aufgrund der glaubhaften Aussagen von Gfr C____ erstellt, dass der Prozess des Bedienens  die Polizistin wurde nach kurzer Absprache zwischen den Angestellten an einen freien Platz gesetzt, die eigens herbeigerufene Berufungsklägerin hat sich ihr zugewandt, indem sie mindestens ihre Nägel betrachtet bzw. eine Situationsanalyse durchgeführt hat  angefangen hat. Der Kontakt zwischen der Berufungsklägerin und der Polizistin dauerte weniger als eine Minute. Daran ändert nichts, dass sich Gfr C____ in der Berufungsverhandlung nicht mehr daran erinnern konnte, ob die Berufungsklägerin nach der gewünschten Farbe gefragt hatte, wobei sie sich diesbezüglich in der erstinstanzlichen Hauptverhandlung noch sehr sicher war. Angesichts des Beginns des Prozesses des Bedienens ist auch nicht von Bedeutung, ob sich die Berufungsklägerin nach den Wünschen der Polizistin erkundigte und wenn ja, in welcher Sprache sie dies tat.</w:t>
      </w:r>
    </w:p>
    <w:p>
      <w:r>
        <w:t>5.         Zulässigkeit der Sachverhaltsermittlung durch verdeckten Fahndung</w:t>
      </w:r>
    </w:p>
    <w:p>
      <w:r>
        <w:t>5.1      Ausgangslage</w:t>
      </w:r>
    </w:p>
    <w:p>
      <w:r>
        <w:t>5.2      Anwendbarkeit der StPO oder des PolG?</w:t>
      </w:r>
    </w:p>
    <w:p>
      <w:r>
        <w:t>5.2.1Mit den per 1. Mai 2013 in Kraft getretenen Artikeln 285a und 298a ff. StPO sind die Begriffe der verdeckten Ermittlung und der verdeckten Fahndung gesetzlich definiert, gegeneinander abgegrenzt und die Voraussetzungen für deren Zulässigkeit im Strafprozessrecht verankert worden. Diese bundesrechtlichen Bestimmungen erfassen allerdings ausschliesslich jene Fälle, in denen bereits ein Verdacht auf eine strafbare Handlung besteht. Das Bundesgericht hat dazu ausgeführt, dass dieser Verdacht zwar bloss vage sein könne, aber nicht gänzlich unbestimmt sein dürfe. Es erschienen indessen manchmal im Interesse der Prävention Ermittlungen gegen Straftaten notwendig, selbst wenn zu Beginn der verdeckten Ermittlungstätigkeit kein Tatverdacht vorliege. Es gehe hier um Handlungen von Polizeiorganen vor einem Strafverfahren, welche der Verhinderung oder Erkennung einer möglichen Straftat dienen würden. Solche Vorermittlungen könnten sich gegen jede Art von schwerwiegenden Straftaten richten (BGE 140 I 353 E. 5.4 f.). Die Grenze zwischen polizeirechtlicher und strafprozessualer Tätigkeit verlaufe in der Praxis fliessend und eine klare Trennung sei nicht immer möglich. Das entscheidende Abgrenzungskriterium für die Anwendbarkeit der StPO sei der strafprozessuale Anfangsverdacht (BGE 143 IV 27 E. 2.5; BGer 6B_1143/2015 vom 6. Juni 2016 E. 1.3.1). Verdeckte Ermittlung und Fahndung gemäss StPO seien lediglich zur Abklärung bereits begangener bzw. in Ausführung begriffener Straftaten zulässig. Erfolgten Ermittlungshandlungen vor Vorliegen eines Tatverdachts im Rahmen einer Kontaktnahme oder Vorermittlung zur Verhütung künftiger Straftaten, handle es sich nicht um Massnahmen des Strafprozessrechts, sondern um eine klassische präventive polizeiliche Tätigkeit, deren Regelung in der Kompetenz der Kantone liege (BGE 143 IV 27 E. 2.5, 140 I 353 E. 5.5.1 f.). Betreffend diese präventive Vorermittlung im Sinne eines polizeilichen Tätigwerdens zur Verhinderung oder Erkennung zukünftiger möglicher Delikte enthalte das Bundesrecht auch nach der Neuregelung der verdeckten Ermittlung und verdeckten Fahndung keine Bestimmungen (BGE 140 I 353 E. 5.5.1, 143 IV 27 E. 2.5). Aus den Gesetzesmaterialen ergebe sich die gesetzgeberische Absicht, die präventive verdeckte Vorermittlung der kantonalen Regelung  insbesondere im jeweiligen kantonalen Polizeirecht  zu überlassen. Nach der Auffassung der Rechtskommission des Nationalrats könne der Bund auch gar keine Gesetzesgrundlagen für die präventive verdeckte Vorermittlung schaffen, da es sich dabei nicht um Massnahmen des Strafprozessrechts handle, zu dessen Regelung der Bund nach Art. 123 Abs. 1 Bundesverfassung (BV, SR 101) befugt sei (BGE 143 I 353 E. 5.5.2).</w:t>
      </w:r>
    </w:p>
    <w:p>
      <w:r>
        <w:t>5.2.2Im vorliegenden Fall hat Gfr C____ anlässlich der Berufungsverhandlung ausgesagt, dass hinsichtlich des Nagelstudios «[...]» kein konkreter Verdacht bestanden habe, dass dort Schwarzarbeit betrieben würde. Im Rahmen der «Joint Action Days» mit Themenschwerpunkt Schwarzarbeit habe man generell Nagelstudios, vor allem [...] Herkunft, kontrolliert (Akten S. 280). Dasselbe erhellt aus der «Anordnung einer verdeckten Fahndung gemäss PolG § 33a» (Akten S. 256 f.). Es liegen somit polizeiliche Vorermittlungen zum Zweck der Feststellung vor, ob überhaupt strafprozessual abzuklärende Sachverhalte vorliegen. Diese stellen eine in die polizeilichen Kompetenzen fallende verdeckte Fahndung dar (eine verdeckte Ermittlung im Sinne von § 33b des Polizeigesetzes [PolG, SG 510.100] liegt in casu aufgrund des fehlenden Katalogdelikts, der fehlenden Legende und dem unterbliebenen Aufbau eines Vertrauensverhältnisses nicht vor). Somit sind die Bestimmungen der Strafprozessordnung zur verdeckten Fahndung nicht anwendbar und untersteht dieses Handeln der Reglementierung durch das kantonale Polizeigesetz. Entsprechend ist die Legitimität des zur Debatte stehenden Einsatzes im Rahmen von Art. 33a PolG zu prüfen (vgl. zum GanzenKnodel, in: Basler Kommentar, 2. Auflage 2014, Art. 298b StPO N 6).</w:t>
      </w:r>
    </w:p>
    <w:p>
      <w:r>
        <w:t>5.3      Formelle Erfordernisse</w:t>
      </w:r>
    </w:p>
    <w:p>
      <w:r>
        <w:t>5.3.1Gemäss § 33a PolG hat die verdeckte Fahndung zum Zweck, «mit Angehörigen der Polizei, deren wahre Identität und Funktion nicht erkennbar ist, im Rahmen kurzer Einsätze ohne Verwendung einer Legende die Vorbereitung von Verbrechen und Vergehen zu erkennen oder Straftaten zu verhindern». Die Anordnung entsprechender Polizeieinsätze hat durch die zuständige Gruppenchefin oder den zuständigen Gruppenchef zu erfolgen und bedarf innerhalb von 48 Stunden nach dem Einsatz der Genehmigung durch eine Polizeioffizierin oder einen Polizeioffizier (§ 33a Abs. 3 PolG).</w:t>
      </w:r>
    </w:p>
    <w:p>
      <w:r>
        <w:t>5.3.2In formeller Hinsicht ist demgemäss zunächst eine Anordnung durch den zuständigen Gruppenchef bzw. die zuständige Gruppenchefin und eine Genehmigung durch eine Polizeioffizierin oder einen Polizeioffizier vorgeschrieben. Diesbezüglich stellte die Verfahrensleiterin unmittelbar vor der Verhandlung fest, dass eine solche Anordnung bzw. Genehmigung nicht in den Akten liegt. Da sie die Staatsanwaltschaft mit Verfügung vom 14. Februar 2022 von der Teilnahme an der Berufungsverhandlung dispensiert hatte, forderte sie den zuständigen Staatsanwalt am 10. Mai 2022 telefonisch auf, das entsprechende Dokument  falls vorhanden  bis zur Verhandlung noch nachzureichen. Die Anordnung einer verdeckten Fahndung gemäss PolG § 33a ging am selben Tag beim Appellationsgericht ein und wurde der Berufungsklägerin zur Kenntnis gebracht (Akten S. 254 ff.).</w:t>
      </w:r>
    </w:p>
    <w:p>
      <w:r>
        <w:t>5.3.3In der Berufungsverhandlung stellte der Verteidiger den Antrag, die entsprechende Anordnung aus den Akten zu entfernen, da sie sich zu Lasten der Berufungsklägerin auswirken könnte. Zudem sei ohnehin fraglich, ob die Akten in diesem späten Verfahrensstadium noch ergänzt werden könnten (Akten S. 277). Das Gericht hat über diesen Antrag vorab beraten und ist zum Schluss gekommen, die Anordnung nicht aus den Akten zu entfernen. Zur Begründung ist auszuführen, dass die Verfahrensleiterin im Vorfeld der Berufungsverhandlung feststellte, dass die rechtlichen Grundlagen für eine korrekte Entscheidfindung allenfalls fehlen könnten. In solchen Fällen ist das Gericht zur Nachforschung bzw. Abklärung verpflichtet, zumal der Untersuchungsgrundsatz gilt und das Berufungsgericht mit voller Kognition ausgestattet ist (vgl. dazu E. 1.2). Zudem gilt das rechtliche Gehör zweiseitig, also auch für die Staatsanwaltschaft. Zufolge Dispensation Letzterer wäre es mit der Garantie eines fairen Verfahrens (Art. 3 Abs. 2 lit. c StPO) nicht vereinbar gewesen, ohne Gelegenheit zur Aktenergänzung festzustellen, dass die rechtlichen Grundlagen fehlten. Alternativ hätte die Möglichkeit bestanden, die Berufungsverhandlung zu sistieren und die Staatsanwaltschaft per Verfügung aufzufordern, allfällige weitere Unterlagen einzureichen. Dieses Vorgehen wäre aber unverhältnismässig gewesen, zumal sich auch die Berufungsklägerin zur fraglichen Anordnung im Sinne des rechtlichen Gehörs äussern konnte (Akten S. 277 f.).</w:t>
      </w:r>
    </w:p>
    <w:p>
      <w:r>
        <w:t>5.3.4Das Gesetz schreibt für die Anordnung einer verdeckten Fahndung nicht explizit Schriftlichkeit vor. Eine mündliche Anordnung ist entgegen der Ansicht der Berufungsklägerin (Akten 282 f., 285) demgemäss auch ohne zeitliche Dringlichkeit zulässig.</w:t>
      </w:r>
    </w:p>
    <w:p>
      <w:r>
        <w:t>5.4      Materielle Erfordernisse</w:t>
      </w:r>
    </w:p>
    <w:p>
      <w:r>
        <w:t>5.4.1Die Kantonspolizei kann gemäss § 33a Abs. 2 PolG eine verdeckte Fahndung anordnen, wenn hinreichende Anzeichen bestehen, dass es zu strafbaren Handlungen kommen könnte (lit. a) und andere Massnahmen erfolglos geblieben sind oder die Ermittlungen sonst aussichtslos wären oder unverhältnismässig erschwert würden (lit. b). Wie bereits zuvor ausgeführt (vgl. dazu E. 5.2.1), erfassen die Art. 298a ff. StPO ausschliesslich jene Fälle, in denen bereits ein Verdacht auf eine strafbare Handlung besteht (strafprozessualer Anfangsverdacht). Erfolgten Ermittlungshandlungen vor Vorliegen eines Tatverdachts im Rahmen einer Kontaktnahme oder Vorermittlung zur Verhütung künftiger Straftaten, handelt es sich nicht um Massnahmen des Strafprozessrechts, sondern um eine klassische präventive polizeiliche Tätigkeit. Demgemäss dürfen an die in § 33a Abs. 2 lit. a PolG verlangten «hinreichenden Anzeichen» keine hohen Anforderungen gestellt werden und reicht es aus, wenn aufgrund der «Joint Action Days» mit Themenschwerpunkt Schwarzarbeit aufgrund einschlägiger Erfahrungen generell Nagelstudios, vor allem [...] Herkunft, kontrolliert wurden. Fremdenfeindliche Motive  wie der Verteidiger insinuiert (Akten S. 285)  herrschten demgemäss nicht vor.</w:t>
      </w:r>
    </w:p>
    <w:p>
      <w:r>
        <w:t>5.4.2Hinsichtlich der Verhältnismässigkeitsprüfung (lit. b) ist festzuhalten, dass für den Nachweis des Tatbestands der Erwerbstätigkeit ohne Bewilligung keine milderen, gleich effektiven Mittel ersichtlich sind. So hat Gfr C____ gut nachvollziehbar ausgeführt, dass die angetroffenen Personen ohne das Eingehen eines Scheingeschäfts in der Regel zunächst behaupteten, sie befänden sich als Besucher bzw. Kunden, jedenfalls aber nicht zwecks Erwerbstätigkeit am kontrollierten Ort (Akten S. 280). Eine Beobachtung des Lokals von aussen, allenfalls noch mit einer Leuchtweste  wie von der Berufungsklägerin als mildere Massnahme vorgeschlagen (Akten S. 285 f.)  erscheint daher nicht zielführend. Zudem dürften bewilligungslos arbeitende Personen kaum an der «Front», sondern eher im Hintergrund eingesetzt werden, wo sie weniger gut erkannt werden, weshalb zur Aufdeckung einer Straftat auch deshalb ein vorgängiger Kontakt notwendig ist. Die Situation ist entgegen der Ansicht der Berufungsklägerin (Akten S. 286 f.) auch nicht vergleichbar mit der Situation auf einer Baustelle, wo die einzelnen Arbeitsplätze nicht derart übersichtlich verteilt liegen wie in einem Nagelstudio und bei einer Kontrolle deshalb kein getarntes Auftreten notwendig ist. Dass im Rahmen einer verdeckten Fahndung ein Hausdurchsuchungsbefehl notwendig wäre, wird (zumindest im Anwendungsbereich des PolG) nicht vorausgesetzt und ergibt sich auch nicht aus dem von der Verteidigung zitierten Bundesgerichtsentscheid (BGer 6B_1409/2019 vom 4. März 2021).</w:t>
      </w:r>
    </w:p>
    <w:p>
      <w:r>
        <w:t>6.         Rechtliches</w:t>
      </w:r>
    </w:p>
    <w:p>
      <w:r>
        <w:t>6.1      Tatbestandsmässigkeit</w:t>
      </w:r>
    </w:p>
    <w:p>
      <w:r>
        <w:t>6.2      Vorbereitungshandlung oder Versuch?</w:t>
      </w:r>
    </w:p>
    <w:p>
      <w:r>
        <w:t>6.3      Agent provocateur?</w:t>
      </w:r>
    </w:p>
    <w:p>
      <w:r>
        <w:t>7.         Strafzumessung</w:t>
      </w:r>
    </w:p>
    <w:p>
      <w:r>
        <w:t>7.1Ausgangspunkt der Strafzumessung bildet der Strafrahmen von Art. 115 Abs. 1 AIG, der von Geldstrafe bis zu Freiheitsstrafe von einem Jahr reicht. Gesetzliche Strafschärfungs- oder Strafmilderungsgründe sind keine ersichtlich, womit vom ordentlichen Strafrahmen auszugehen ist.</w:t>
      </w:r>
    </w:p>
    <w:p>
      <w:r>
        <w:t>7.2Das objektive und subjektive Tatverschulden wiegt sehr leicht. Wie das Strafgericht zutreffend festgehalten hat (vorinstanzliches Urteil S. 7), dürfte es sich kaum um einen Fall systematischer Schwarzarbeit handeln. Viel wahrscheinlicher ist es, dass die Berufungsklägerin hauptsächlich ihren Urlaub bei ihren Verwandten verbrachte und diesen  aus ihrer Sicht  in einem Moment der Hilfsbedürftigkeit ausgeholfen hat, zumal sie über eine entsprechende Ausbildung verfügt. Auch dürfte sie kein Entgelt bezogen haben. Dies rechtfertigt die Ausfällung einer eher symbolischen Geldstrafe im untersten Bereich des Strafrahmens, mithin von zehn Tagessätzen. Die Tagessatzhöhe wird in Anbetracht der Informationen zur Person (Einkommen von CHF 500. monatlich [exklusive Trinkgelder], kinderlos, vom Ehemann getrennt lebend, keine Schulden, keine Immobilien [Akten S. 41, 72, 75 ff.]) auf CHF 10. festgesetzt (Art. 34 Abs. 2 StGB).</w:t>
      </w:r>
    </w:p>
    <w:p>
      <w:r>
        <w:t>7.3Dem bedingten Strafvollzug mit einer minimalen Probezeit von zwei Jahren steht angesichts der Vorstrafenlosigkeit der Berufungsklägerin (Akten S. 250 f.) nichts entgegen (Art. 42 Abs. 1 StGB).</w:t>
      </w:r>
    </w:p>
    <w:p>
      <w:r>
        <w:t>8.         Genugtuungsforderung</w:t>
      </w:r>
    </w:p>
    <w:p>
      <w:r>
        <w:t>Der amtliche Verteidiger hat anlässlich der heutigen Berufungsverhandlung vorgebracht, dass die Berufungsklägerin ihre Familie aufgrund des Vorfalls während zwei Jahren nicht mehr habe besuchen dürfen, was zu einer Genugtuung in Höhe von CHF 500. führen müsse (Akten S. 287). Neben der Tatsache, dass die Berufungsklägerin auch im Rechtsmittelverfahren wegen Erwerbstätigkeit ohne Bewilligung schuldig gesprochen wird, verkennt er damit, dass ein Einreiseverbot eine eigene verwaltungsrechtliche Sanktion (mit eigenem Rechtsmittelweg) darstellt und in keinem direkten Zusammenhang mit dem vorliegenden Strafverfahren steht, sodass in diesem diesbezüglich auch keine Genugtuung ausgerichtet werden kann. Der entsprechende Antrag ist daher abzuweisen.</w:t>
      </w:r>
    </w:p>
    <w:p>
      <w:r>
        <w:t>9.         Erstinstanzliche Kosten</w:t>
      </w:r>
    </w:p>
    <w:p>
      <w:r>
        <w:t>9.1      Ausgangslage</w:t>
      </w:r>
    </w:p>
    <w:p>
      <w:r>
        <w:t>Die schuldig gesprochene Person hat  sofern keine gesetzlichen Ausnahmen vorliegen  gestützt auf Art. 426 Abs. 1 StPO sämtliche kausalen Verfahrenskosten zu tragen (BGE 138 IV 248 E. 4.4.1; BGer 6B_415/2021 vom 11. Oktober 2021 E. 7.3). Die Verfahrenskosten werden demnach gemäss Verursacherprinzip verlegt.</w:t>
      </w:r>
    </w:p>
    <w:p>
      <w:r>
        <w:t>9.2      Im vorliegenden Fall</w:t>
      </w:r>
    </w:p>
    <w:p>
      <w:r>
        <w:t>Da A____ auch im Berufungsverfahren wegen Erwerbstätigkeit ohne Bewilligung schuldig gesprochen wird, sind die erstinstanzlichen Verfahrenskosten zu belassen. Demgemäss trägt die Berufungsklägerin für das erstinstanzliche Verfahren Kosten in Höhe von CHF 265. und eine Urteilsgebühr von CHF 400.‒.</w:t>
      </w:r>
    </w:p>
    <w:p>
      <w:r>
        <w:t>9.3      Rückforderungsvorbehalt erste Instanz</w:t>
      </w:r>
    </w:p>
    <w:p>
      <w:r>
        <w:t>Da die Berufungsklägerin die vollen erstinstanzlichen Verfahrenskosten trägt, bleibt Art. 135 Abs. 4 StPO in Bezug auf die in Rechtskraft erwachsene Entschädigung der amtlichen Verteidigung für das erstinstanzliche Verfahren im Umfang von 100 % vorbehalten.</w:t>
      </w:r>
    </w:p>
    <w:p>
      <w:r>
        <w:t>10.      Kosten des Rechtsmittelverfahrens</w:t>
      </w:r>
    </w:p>
    <w:p>
      <w:r>
        <w:t>10.1    Ausgangslage</w:t>
      </w:r>
    </w:p>
    <w:p>
      <w:r>
        <w:t>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w:t>
      </w:r>
    </w:p>
    <w:p>
      <w:r>
        <w:t>10.2    Im vorliegenden Fall</w:t>
      </w:r>
    </w:p>
    <w:p>
      <w:r>
        <w:t>Die Berufungsklägerin unterliegt mit ihrer Berufung vollumfänglich, weswegen ihr die Kosten des zweitinstanzlichen Verfahrens mit Einschluss einer Urteilsgebühr von CHF 1000. (inklusive Kanzleiauslagen, zuzüglich allfälliger übriger Auslagen) auferlegt werden (Art. 428 Abs. 1 StPO in Verbindung mit § 21 Abs. 1 des Gerichtsgebührenreglements [GGR, SG 154.810]).</w:t>
      </w:r>
    </w:p>
    <w:p>
      <w:r>
        <w:t>11.      Entschädigungen</w:t>
      </w:r>
    </w:p>
    <w:p>
      <w:r>
        <w:t>11.1    Honorar des amtlichen Verteidigers</w:t>
      </w:r>
    </w:p>
    <w:p>
      <w:r>
        <w:t>11.1.1Dem amtlichen Verteidiger, B____, ist aus der Gerichtskasse eine Entschädigung auszurichten, wobei der geltend gemachte Aufwand von insgesamt 32 Stunden (ohne Berufungsverhandlung) das Mass des Notwendigen und Angemessenen eindeutig übersteigt und daher übersetzt ist. Die beabsichtigte Kürzung der Honorarnote (hinsichtlich des Aufwands für rechtliche Abklärungen, für die Redaktion der Berufungsbegründung und in Bezug auf die Vorbereitung des Plädoyers) wurde B____ im Anschluss an die mündliche Urteilsberatung zwecks Gewährung des rechtlichen Gehörs in Aussicht gestellt (Akten S. 288). Indes konnte er nicht nachvollziehbar begründen, inwiefern für die Redaktion der Berufungsbegründung ein Aufwand von knapp 14.5 Stunden und für die Vorbereitung des Plädoyers nochmals gut 4.5 Stunden angemessen erschienen, zumal es sich vorliegend entgegen seiner Ansicht weder um einen besonders anspruchsvollen- noch aktenmässig umfangreichen Fall (mit knapp 300 Aktenseiten) handelt und er seine Argumentation im Vergleich zur Vorinstanz auch nicht wesentlich abgeändert hat. Dass rechtliche Abklärungen ‒ soweit keine aussergewöhnlichen Rechtsfragen betroffen sind ‒ nicht entschädigt werden, entspricht gefestigter Praxis (BGer 6B_694/2013 vom 9. September 2013 E. 2; BStGer RR.2017.309 vom 9. Februar 2019 E. 10.4; AGE SB.2018.99 vom 25. Februar 2022 E. 9, SB.2020.21 vom 4. November 2020 E. 4.2).</w:t>
      </w:r>
    </w:p>
    <w:p>
      <w:r>
        <w:t>11.1.2Nach dem Gesagten wird B____ ein Aufwand von insgesamt 24 Stunden vergütet (für die Redaktion der Berufungsbegründung werden sechs Stunden weniger, mithin 520 Minuten, sowie für die Vorbereitung des Plädoyers 180 anstatt 280 Minuten vergütet; nicht vergütet wird der Aufwand für rechtliche Abklärungen im Umfang von 165 Minuten; für die heutige Hauptverhandlung werden jedoch zusätzlich 2.5 Stunden bezahlt). Dazu kommt ein Auslagenersatz von 3 % (§ 23 Abs. 1 des Honorarreglements [HoR, SG 291.400]). Für den genauen Betrag wird auf das Urteilsdispositiv verwiesen (die Leistungen des amtlichen Verteidigers unterliegen nicht der Mehrwertsteuer).</w:t>
      </w:r>
    </w:p>
    <w:p>
      <w:r>
        <w:t>11.2    Rückforderungsvorbehalt zweite Instanz</w:t>
      </w:r>
    </w:p>
    <w:p>
      <w:r>
        <w:t>Da A____ mit ihrer Berufung vollumfänglich unterliegt, umfasst die Rückerstattungspflicht bezüglich des Honorars des amtlichen Verteidigers im Falle ihrer wirtschaftlichen Besserstellung 100 % des zugesprochenen Honorars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