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SB.2021.6 vom 26. April 2023</w:t>
      </w:r>
    </w:p>
    <w:p>
      <w:r>
        <w:t>BS Appellationsgericht, 2023-04-26, DE</w:t>
      </w:r>
    </w:p>
    <w:p>
      <w:r>
        <w:rPr>
          <w:b/>
        </w:rPr>
        <w:t xml:space="preserve">Quelle: </w:t>
      </w:r>
      <w:r>
        <w:t>https://mcp.opencaselaw.ch/entscheid/bs_appellationsgericht_SB.2021.6</w:t>
      </w:r>
    </w:p>
    <w:p>
      <w:r>
        <w:t>FR: BS_APPELLATIONSGERICHT SB.2021.6 du 26 avril 2023</w:t>
      </w:r>
    </w:p>
    <w:p>
      <w:r>
        <w:t>IT: BS_APPELLATIONSGERICHT SB.2021.6 del 26 aprile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SB.2020.44 vom 25. Mai 2022 E. 1). Das Berufungsurteil vom 24. März 2022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SB.2020.44 vom 25. Mai 2022 E. 2.1, SB.2017.73 vom 24. März 2021 E. 2.1, SB.2014.28 vom 28. August 2019 E. 2.1, SB.2017.64 vom 25. Januar 2019 E. 2.1 mit Hinweisen).</w:t>
      </w:r>
    </w:p>
    <w:p>
      <w:r>
        <w:t>2.2Der Gesuchsteller hat bereits im Verfahren SB.2015.52 einen Kostenerlass beantragt und diesen mit den gleichen Argumenten begründet wie im vorliegenden Erlassgesuch: Er sei bereits seit zehn Jahren ausgesteuert und müsse bis zum Erreichen des AHV-Alters von seinem Vermögen leben, welches sich dadurch jährlich um CHF 25000.‒ reduziere. Im vorliegenden Erlassgesuch beziffert er den Vermögensverzehr auf jährlich CHF 30000.‒ (Eingabe vom 13. März 2023). Bereits dem damaligen Erlassgesuch hat der Gesuchsteller die Veranlagung der Steuerbehörden des Kantons Basel-Landschaft für das Steuerjahr 2021 eingereicht sowie ‒ im Unterschied zum vorliegenden Verfahren ‒ Kontoauszüge der Basler Kantonalbank. Der Verfahrensleiter stellte im Entscheid vom 24. Oktober 2022 fest, dass sich aus den eingereichten Bankbelegen ergebe, dass auf dem Konto zwischen Januar und August 2022 keine Bewegungen stattgefunden hätten und der Kontostand unverändert CHF 12729.24 betragen habe. Aus der Steuerveranlagung ergibt sich neben CHF 12729.‒ in Form von Wertschriften und Guthaben Vermögen in Form von Bargeld und Edelmetallen im Wert von CHF 75'000.‒ und weitere Vermögenswerte (Boden und Gebäude) im Wert von CHF 86000.‒.</w:t>
      </w:r>
    </w:p>
    <w:p>
      <w:r>
        <w:t>Im damaligen wie im aktuellen Verfahren betreffend Kostenerlass belegen die eingereichten Unterlagen, dass der Gesuchsteller über genügend Aktiven verfügt, um die Gerichtskosten zu bezahlen. Im zitierten Entscheid (SB.2015.52) wurde zudem festgestellt, dass unbelegt sei, woraus der Gesuchsteller seinen Lebensunterhalt bestreite, da sich aus den eingereichten Bankunterlagen keine Bewegungen ergeben würden. Es wurde zu Recht festgehalten, dass unter diesen Umständen nicht ersichtlich sei, dass der Gesuchsteller die Voraussetzungen für einen Kostenerlass gemäss Art. 425 StPO erfülle. Der Gesuchsteller hat im vorliegenden Verfahren keine weiteren Belege eingereicht, welche zu einem anderen Schluss führen würden.</w:t>
      </w:r>
    </w:p>
    <w:p>
      <w:r>
        <w:t>Angesichts der hohen Kosten von CHF 18675.‒ wurde dem Gesuchsteller im zitierten Entscheid vom 24. Oktober 2022 zugestanden, dass die vollumfängliche Zahlung eine grosse wirtschaftliche Belastung für ihn bedeuten würde, weshalb ihm lediglich ein Teil der Gerichtskosten im Umfang von CHF 5000.‒ auferlegt und die restliche Forderung erlassen wurde. Eine solche Härte ist im vorliegenden Verfahren nicht gegeben, da sich die Kosten und Gebühren gesamthaft auf lediglich CHF 1700.‒ belaufen. Das Gesuch um Kostenerlass ist daher abzuweisen.</w:t>
      </w:r>
    </w:p>
    <w:p>
      <w:r>
        <w:rPr>
          <w:b/>
        </w:rPr>
        <w:t>E. 3</w:t>
      </w:r>
    </w:p>
    <w:p>
      <w:r>
        <w:t>Bei diesem Ausgang des Verfahrens hätte der Gesuchsteller grundsätzlich dessen Kosten in Form einer Entscheidgebühr zu tragen. Da er mit den gleichen Unterlagen an die Verfahrensleitung gelangt ist wie im Verfahren SB.2015.52 und daher in weiten Teilen auf die zutreffenden Erwägungen im damaligen Entscheid abgestellt werden kann, ist jedoch in Anwendung von § 40 des Gerichtsgebührenreglements [GGR, SG 154.810] auf die die Erhebung einer Entscheidgebühr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