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SB.2021.46 vom 17. Mai 2024</w:t>
      </w:r>
    </w:p>
    <w:p>
      <w:r>
        <w:t>BS Appellationsgericht, 2024-05-17, DE</w:t>
      </w:r>
    </w:p>
    <w:p>
      <w:r>
        <w:rPr>
          <w:b/>
        </w:rPr>
        <w:t xml:space="preserve">Quelle: </w:t>
      </w:r>
      <w:r>
        <w:t>https://mcp.opencaselaw.ch/entscheid/bs_appellationsgericht_SB.2021.46</w:t>
      </w:r>
    </w:p>
    <w:p>
      <w:r>
        <w:t>FR: BS_APPELLATIONSGERICHT SB.2021.46 du 17 mai 2024</w:t>
      </w:r>
    </w:p>
    <w:p>
      <w:r>
        <w:t>IT: BS_APPELLATIONSGERICHT SB.2021.46 del 17 maggio 2024</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SB.2018.45 vom 7. Dezember 2023 E. 1). Das Berufungs­urteil wurde durch das Appellationsgericht erlassen, weshalb zur Behandlung des Kostenerlassgesuchs der Einzelrichter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SB.2018.45 vom 7. Dezember 2023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SB.2012.7/SB.2012.17 vom 1. Dezember 2023 E. 2.1). Mit der Konzipierung von Art. 425 StPO als Kann-Bestimmung bleibt der zuständigen Strafbehörde ein grosser Ermessens- und Beurteilungsspielraum (BGer 6B_1184/2019 vom 25. Juni 2020 E. 1.1, 6B_886/2019 vom 25. September 2019 E. 2).</w:t>
      </w:r>
    </w:p>
    <w:p>
      <w:r>
        <w:t>2.2Wie sich aus dem Erlassgesuch, den weiteren Eingaben und den eingereichten Belegen ergibt, sind die finanziellen Verhältnisse der Gesuchstellerin und ihrer Familie momentan und wohl auch in Zukunft angespannt. Die Gesuchstellerin verdient durch ihre Anstellung beim [...] einen Nettolohn von CHF 3'540. zuzüglich einer Kinderzulage von CHF 200.. Ihr Ehemann, welcher seine Arbeitsstelle verloren hat, bezieht aktuell Leistungen der Arbeitslosenversicherung in Höhe von monatlich netto durchschnittlich rund CHF 3300.. Dem stehen unter Berücksichtigung des erweiterten Grundbetrags nachgewiesene Kosten für die dreiköpfige Familie (die Ehegatten haben einen 14-jährigen Sohn) von rund CHF 6412. entgegen. Es ist nicht zu erwarten, dass sich ihre finanzielle Situation in absehbarer Zeit zum viel Besseren verändern wird. Nebenbei sei angemerkt, dass die Gesuchstellerin die Genugtuung der Privatklägerin von CHF 500. immerhin bezahlt hat. Unter diesen Umständen erscheint eine vollständige Kostenauflage im Sinne des vorstehend Ausgeführten als unbillig. Die Begleichung sämtlicher Gerichtskosten würde das Fortkommen der Gesuchstellerin und ihrer Familie erheblich erschweren. Es rechtfertigt sich deshalb, das ursprüngliche Gesuch vom 9. Oktober 2023 teilweise gutzuheissen. Die Verfahrenskosten von CHF 5'426.50 werden antragsgemäss im Umfang von knapp mehr als die Hälfte reduziert und für die Restanz von CHF 2400. wird die Ratenzahlung in zwölf monatlichen Raten zu CHF 200., erstmals zahlbar per 1. Juli 2024 bewilligt. Der Erlass der CHF 3026.50 steht allerdings unter der Bedingung, dass die zwölf Raten à CHF 200. regelmässig und pünktlich bezahlt werden. Die Gesuchstellerin wird darauf aufmerksam gemacht, dass bei Ausbleiben einer Rate der gesamte Restbetrag sofort fällig und verzinslich wird.</w:t>
      </w:r>
    </w:p>
    <w:p>
      <w:r>
        <w:rPr>
          <w:b/>
        </w:rPr>
        <w:t>E. 3</w:t>
      </w:r>
    </w:p>
    <w:p>
      <w:r>
        <w:t>Das Erlassgesuch ist demgemäss teilweise gutzuheissen. Es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