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SB.2021.29 vom 18. März 2024</w:t>
      </w:r>
    </w:p>
    <w:p>
      <w:r>
        <w:t>BS Appellationsgericht, 2024-03-18, DE</w:t>
      </w:r>
    </w:p>
    <w:p>
      <w:r>
        <w:rPr>
          <w:b/>
        </w:rPr>
        <w:t xml:space="preserve">Quelle: </w:t>
      </w:r>
      <w:r>
        <w:t>https://mcp.opencaselaw.ch/entscheid/bs_appellationsgericht_SB.2021.29</w:t>
      </w:r>
    </w:p>
    <w:p>
      <w:r>
        <w:t>FR: BS_APPELLATIONSGERICHT SB.2021.29 du 18 mars 2024</w:t>
      </w:r>
    </w:p>
    <w:p>
      <w:r>
        <w:t>IT: BS_APPELLATIONSGERICHT SB.2021.29 del 18 marzo 2024</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SB.2018.45 vom 7. Dezember 2023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2.2Gemäss Steuererklärung für das Jahr 2022 erzielte der Gesuchsteller zusammen mit seiner Ehefrau Einkünfte in Höhe von CHF 42'316.. Die Einkünfte der Ehefrau, welche für verschiedene Arbeitgeber und Arbeitgeberinnen als Reinigungskraft tätig ist, sind volatil. Ersparnisse hat das Ehepaar keine. Das steuerbare Einkommen für das Jahr 2022 beträgt CHF 33'284.. Nach Abzug der Krankenkassenprämien, der Miete in Höhe von CHF 1'735. und den Ausgaben für den täglichen Bedarf bleibt dem Ehepaar kaum mehr etwas übrig. Es lebt auf dem Existenzminimum.</w:t>
      </w:r>
    </w:p>
    <w:p>
      <w:r>
        <w:t>2.3Aus den eingereichten Unterlagen ergibt sich damit, dass die finanziellen Verhältnisse des Gesuchstellers prekär sind und nur schon eine teilweise Kostenauflage unbillig erschiene. Kommt dazu, dass im Falle seiner wirtschaftlichen Besserstellung auch noch der Rückforderungsvorbehalt bezüglich der Entschädigung der amtlichen Verteidigung für das erstinstanzliche Verfahren im Sinne von Art. 135 Abs. 4 StPO aktiviert würde. Es rechtfertigt sich daher, dem Gesuchsteller die erstinstanzlichen Verfahrenskosten in Höhe von CHF 1'521.80 antragsgemäss zu erlassen.</w:t>
      </w:r>
    </w:p>
    <w:p>
      <w:r>
        <w:rPr>
          <w:b/>
        </w:rPr>
        <w:t>E. 3</w:t>
      </w:r>
    </w:p>
    <w:p>
      <w:r>
        <w:t>Das Erlassgesuch ist demgemäss gutzuheissen. Es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