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SB.2021.21 vom 10. Januar 2024</w:t>
      </w:r>
    </w:p>
    <w:p>
      <w:r>
        <w:t>BS Appellationsgericht, 2024-01-10, DE</w:t>
      </w:r>
    </w:p>
    <w:p>
      <w:r>
        <w:rPr>
          <w:b/>
        </w:rPr>
        <w:t xml:space="preserve">Quelle: </w:t>
      </w:r>
      <w:r>
        <w:t>https://mcp.opencaselaw.ch/entscheid/bs_appellationsgericht_SB.2021.21</w:t>
      </w:r>
    </w:p>
    <w:p>
      <w:r>
        <w:t>FR: BS_APPELLATIONSGERICHT SB.2021.21 du 10 janvier 2024</w:t>
      </w:r>
    </w:p>
    <w:p>
      <w:r>
        <w:t>IT: BS_APPELLATIONSGERICHT SB.2021.21 del 10 gennaio 2024</w:t>
      </w:r>
    </w:p>
    <w:p>
      <w:pPr>
        <w:pStyle w:val="Heading2"/>
      </w:pPr>
      <w:r>
        <w:t>Erwägungen</w:t>
      </w:r>
    </w:p>
    <w:p>
      <w:r>
        <w:rPr>
          <w:b/>
        </w:rPr>
        <w:t>E. 1</w:t>
      </w:r>
    </w:p>
    <w:p>
      <w:r>
        <w:t>1.1Gemäss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10).Hat der Täter durch eine oder mehrere Handlungen die Voraussetzungen für mehrere gleichartige Strafen erfüllt, so verurteilt ihn das Gericht zu der Strafe der schwerstenStraftatund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mit Hinweis). Geld- und Freiheitsstrafe sind keine gleichartigen Strafen im Sinne von Art. 49 Abs. 1 StGB (BGE 137 IV 57 E. 4.3.1).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mit Hinweisen).</w:t>
      </w:r>
    </w:p>
    <w:p>
      <w:r>
        <w:t>1.2Wie sich aus dem obigen Erwägungen ergibt, hat sich der Berufungskläger der mehrfachen versuchten Nötigung sowie der Sachbeschädigung schuldig gemacht.</w:t>
      </w:r>
    </w:p>
    <w:p>
      <w:r>
        <w:t>1.3Mit der Vorinstanz ist zunächst hinsichtlich der Strafart festzustellen, dass das Verschulden betreffend diese beiden Straftaten zwar in demjenigen Bereich liegen, in welchem der Geldstrafe grundsätzlich der Vorrang zukäme. Der Berufungskläger ist jedoch hinsichtlich beider vorliegenden Delikte einschlägig vorbestraft (Strafregisterauszug, Akten S. 357 ff.). Hinzu kommt, dass er die vorliegenden Nötigungen während einem laufenden Berufungsverfahren begangen hat, in welchem unter anderem ebenfalls ein Delikt zum Nachteil von C____ zu beurteilen war (Akten S. 378 ff.). Da der Berufungskläger mit Urteil des Appellationsgerichts vom 26. März 2019 mittlerweile auch rechtskräftig des Landes verwiesen wurde (Akten S. 378 ff.), könnte eine Geldstrafe zudem nicht vollzogen werden, weshalb auch Art. 41 Abs. 1 lit. b StGB erfüllt ist und vorliegend eine Freiheitsstrafe als einzige zweckmässige Sanktionsart erscheint.</w:t>
      </w:r>
    </w:p>
    <w:p>
      <w:r>
        <w:t>1.4Die Vorinstanz ging zutreffend vom Strafrahmen Nötigung nach Art. 181 StGB, welcher eine Freiheitsstrafe bis zu 3 Jahren vorsieht, aus. Bei den Strafschärfungsgründen ist derjenige der Deliktsmehrheit gemäss Art. 49 StGB zu berücksichtigen. Da es hinsichtlich der Nötigungen nur bei Versuchen geblieben ist, können diese nach Art. 22 Abs. 1 StGB milder geahndet werden. Vorliegend rechtfertigt es der enge sachliche Zusammenhang der betreffenden Delikte, eine Einsatzstrafe für die mehrfach versuchte Nötigung festzulegen und diese aufgrund der Sachbeschädigung zu asperieren.</w:t>
      </w:r>
    </w:p>
    <w:p>
      <w:r>
        <w:t>IV.       Zivilforderung</w:t>
      </w:r>
    </w:p>
    <w:p>
      <w:r>
        <w:t>V.        Kosten</w:t>
      </w:r>
    </w:p>
    <w:p>
      <w:r>
        <w:t>Hinsichtlich der erstinstanzlichen Kosten gilt es Art. 426 Abs. 1 StPO zu beachten, wonach die beschuldigte Person die Verfahrenskosten trägt, wenn sie verurteilt wird. Der verurteilte Berufungskläger trägt somit die Verfahrenskosten im Betrage von CHF 518.30 und eine Urteilsgebühr von CHF 1000. für das erstinstanzliche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