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SB.2021.10 vom 13. März 2024</w:t>
      </w:r>
    </w:p>
    <w:p>
      <w:r>
        <w:t>BS Appellationsgericht, 2024-03-13, DE</w:t>
      </w:r>
    </w:p>
    <w:p>
      <w:r>
        <w:rPr>
          <w:b/>
        </w:rPr>
        <w:t xml:space="preserve">Quelle: </w:t>
      </w:r>
      <w:r>
        <w:t>https://mcp.opencaselaw.ch/entscheid/bs_appellationsgericht_SB.2021.10</w:t>
      </w:r>
    </w:p>
    <w:p>
      <w:r>
        <w:t>FR: BS_APPELLATIONSGERICHT SB.2021.10 du 13 mars 2024</w:t>
      </w:r>
    </w:p>
    <w:p>
      <w:r>
        <w:t>IT: BS_APPELLATIONSGERICHT SB.2021.10 del 13 marzo 2024</w:t>
      </w:r>
    </w:p>
    <w:p>
      <w:pPr>
        <w:pStyle w:val="Heading2"/>
      </w:pPr>
      <w:r>
        <w:t>Volltext</w:t>
      </w:r>
    </w:p>
    <w:p>
      <w:r>
        <w:t>Appellationsgericht</w:t>
      </w:r>
    </w:p>
    <w:p>
      <w:r>
        <w:t>des Kantons Basel-Stadt</w:t>
      </w:r>
    </w:p>
    <w:p>
      <w:r>
        <w:t>Dreiergericht</w:t>
      </w:r>
    </w:p>
    <w:p>
      <w:r>
        <w:t>SB.2021.10</w:t>
      </w:r>
    </w:p>
    <w:p>
      <w:r>
        <w:t>URTEIL</w:t>
      </w:r>
    </w:p>
    <w:p>
      <w:r>
        <w:t>vom13. März 2024</w:t>
      </w:r>
    </w:p>
    <w:p>
      <w:r>
        <w:t>Mitwirkende</w:t>
      </w:r>
    </w:p>
    <w:p>
      <w:r>
        <w:t>lic. iur. Liselotte Henz (Vorsitz),</w:t>
      </w:r>
    </w:p>
    <w:p>
      <w:r>
        <w:t>Dr. Annatina Wirz, Prof. Dr. Ramon Mabillard</w:t>
      </w:r>
    </w:p>
    <w:p>
      <w:r>
        <w:t>und Gerichtsschreiber Dr. Martin Seelmann, LL.M.</w:t>
      </w:r>
    </w:p>
    <w:p>
      <w:r>
        <w:t>Beteiligte</w:t>
      </w:r>
    </w:p>
    <w:p>
      <w:r>
        <w:t>A____(vormals [...]), geb. [...]                                          Berufungskläger</w:t>
      </w:r>
    </w:p>
    <w:p>
      <w:r>
        <w:t>c/o Untersuchungsgefängnis Basel-Stadt,                            Beschuldigter</w:t>
      </w:r>
    </w:p>
    <w:p>
      <w:r>
        <w:t>Innere Margarethenstrasse 18, 4051 Basel</w:t>
      </w:r>
    </w:p>
    <w:p>
      <w:r>
        <w:t>vertreten durch [...], Rechtsanwalt,</w:t>
      </w:r>
    </w:p>
    <w:p>
      <w:r>
        <w:t>[...]</w:t>
      </w:r>
    </w:p>
    <w:p>
      <w:r>
        <w:t>gegen</w:t>
      </w:r>
    </w:p>
    <w:p>
      <w:r>
        <w:t>Staatsanwaltschaft Basel-StadtBerufungsbeklagte</w:t>
      </w:r>
    </w:p>
    <w:p>
      <w:r>
        <w:t>Binningerstrasse 21, 4001 Basel</w:t>
      </w:r>
    </w:p>
    <w:p>
      <w:r>
        <w:t>Gegenstand</w:t>
      </w:r>
    </w:p>
    <w:p>
      <w:r>
        <w:t>Berufunggegen ein Urteil des Strafdreiergerichts</w:t>
      </w:r>
    </w:p>
    <w:p>
      <w:r>
        <w:t>vom 11. November 2020</w:t>
      </w:r>
    </w:p>
    <w:p>
      <w:r>
        <w:t>betreffend Förderung der Prostitution, mehrfache versuchte Nötigung sowie Förderung des rechtswidrigen Aufenthalts</w:t>
      </w:r>
    </w:p>
    <w:p>
      <w:r>
        <w:t>Die Glaubhaftigkeit einer Aussage bestimmt sich nach ihrem Inhalt; je detaillierter, individueller und in sich verflochtener eine Aussage ist, desto glaubhafter ist sie (Zweidler, Die Würdigung von Aussagen, in: ZBJV 132/1996, S. 115 ff.). Dabei ist sämtlichen Umständen, welche objektiv für die Erforschung von Tatsachen von Bedeutung sein können, Rechnung zu tragen. In Lehre und Rechtsprechung ist anerkannt, dass sich die Glaubhaftigkeit einer Aussage im Wesentlichen nach ihrem Inhalt bestimmt. Danach unterscheiden sich Aussagen über selbst erlebte Ereignisse in ihrer Qualität von Aussagen, welche nicht auf selbst erlebten Vorgängen beruhen (vgl. Ludewig/Baumer/Tavor, in: Ludewig/Baumer/Tavor [Hrsg.], Aussagepsychologie für die Rechtspraxis, 2017, S. 43 ff.; Undeutsch, Beurteilung der Glaubhaftigkeit von Zeugenaussagen, in: Undeutsch (Hrsg.), Forensische Psychiatrie, 1968, S. 26 ff.). Überprüft wird dabei in erster Linie die Hypothese, ob die aussagende Person mit den gegebenen individuellen Voraussetzungen, unter den gegebenen Befragungsumständen und Entstehungsbedingungen der Aussage sowie unter Berücksichtigung der im konkreten Fall möglichen Einflüsse von Dritten diese spezifische Aussage machen könnte, wenn diese nicht auf einem realen Erlebnishintergrund basierte (vgl. Volbert, Glaubwürdigkeitsbegutachtung bei Verdacht auf sexuellen Missbrauch, Zeitschrift für Kinder- und Jugendpsychiatrie 1995, S. 20 ff.; vgl. auch BGer 6B_760/2010 vom 13. Dezember 2010 E. 2.3). Damit eine Aussage als zuverlässig erachtet werden kann, ist sie besonders auf das Vorhandensein von Realitätskriterien und umgekehrt auf das Fehlen von Phantasiesignalen zu überprüfen (vgl. Ludewig/Baumer/Tavor, a.a.O., S. 46 ff.; Wiprächtiger, Aussagepsychologische Begutachtung im Strafrecht, in: forumpoenale 2010, S. 40 f.; Dittmann, Zur Glaubhaftigkeit von Zeugenaussagen, in: plädoyer 2/1997, S. 33 ff.; Zweidler, a.a.O., S. 105 ff.). Bei der Glaubhaftigkeitsbeurteilung ist immer auch davon auszugehen, dass die Aussage nicht realitätsbegründet sein kann. Erst wenn sich diese Annahme (Nullhypothese) aufgrund der festgestellten Realitätskriterien nicht mehr halten lässt, wird geschlossen, dass die Aussage einem wirklichen Erleben entspricht und wahr ist (BGE 133 I 33 E. 4.3 m.H. auf 129 I 49 E. 5 und 128 I 81 E. 2 und auf die Literatur; BGer 6B_542/2019 vom 28. August 2019 E. 2.3.1). Gegenüber den Realitätskriterien sind also in jedem Fall auch mögliche Anhaltspunkte für eine Falschbezichtigung abzuwägen (dazu Dittmann, a.a.O., S. 34 f.).</w:t>
      </w:r>
    </w:p>
    <w:p>
      <w:r>
        <w:t>4.3.1.2Des Weiteren kann der Wahrheitsgehalt einer Aussage nur beurteilt werden, wenn bekannt ist, in welchem Zusammenhang sie entstand (vgl. Ludewig/Bau­mer/Tavor, a.a.O., S. 76). Die Analyse der Aussageentstehung dient unter anderem der Klärung der Frage, ob zum Zeitpunkt der Erstaussage eine Motivation für eine absichtliche Falschaussage vorgelegen haben könnte oder ob allfällige suggestive Beeinflussungen vorgelegen haben (Ludewig/Baumer/Tavor, a.a.O., S. 76; Niehaus, Begutachtung der Glaubhaftigkeit von Kinderaussagen, in: FamPra 2010, S. 325).</w:t>
      </w:r>
    </w:p>
    <w:p>
      <w:r>
        <w:t>://:        Es wird festgestellt, dass folgende Punkte des Urteils des Strafgerichts vom 11. November 2020 mangels Anfechtungin Rechtskraft erwachsen sind:</w:t>
      </w:r>
    </w:p>
    <w:p>
      <w:r>
        <w:t>Die Berufung von A____ (vormals [...]) wird gutgeheissen.</w:t>
      </w:r>
    </w:p>
    <w:p>
      <w:r>
        <w:t>A____ wird von der Anklage der Förderung der Prostitution, der mehrfachen versuchten Nötigung sowie der Förderung des rechtswidrigen Aufenthaltskostenlos freigesprochen.</w:t>
      </w:r>
    </w:p>
    <w:p>
      <w:r>
        <w:t>Für die ausgestandene/verbleibende Überhaft von 222 Tagen wird A____ eine Haftentschädigung von CHF 33300. aus der Gerichtskasse zugesprochen. Diese Entschädigung entfällt im Umfang, in welchem eine Anrechnung der ausgestandenen Untersuchungs- und Sicherheitshaft auf eine vom Strafgericht Basel-Stadt ausgesprochene Strafe (Verfahren SG.2023.261) stattfindet.</w:t>
      </w:r>
    </w:p>
    <w:p>
      <w:r>
        <w:t>A____ wird eine reduzierte Parteientschädigung für das zweitinstanzliche Verfahren in Höhe von CHF 2'916.20 aus der Gerichtskasse zugesprochen (inkl. Auslagen und MWST).</w:t>
      </w:r>
    </w:p>
    <w:p>
      <w:r>
        <w:t>Über die Entschädigung der amtlichen Verteidigung wird mit separat zu ergehender Verfügung entschieden.</w:t>
      </w:r>
    </w:p>
    <w:p>
      <w:r>
        <w:t>Mitteilung an:</w:t>
      </w:r>
    </w:p>
    <w:p>
      <w:r>
        <w:t>sowie nach Rechtskraft des Urteils:</w:t>
      </w:r>
    </w:p>
    <w:p>
      <w:r>
        <w:t>Die Präsidentin                                                         Der Gerichtsschreiber</w:t>
      </w:r>
    </w:p>
    <w:p>
      <w:r>
        <w:t>lic. iur. Liselotte Henz                                               Dr. Martin Seelmann, LL.M.</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