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SB.2020.87 vom 23. Mai 2023</w:t>
      </w:r>
    </w:p>
    <w:p>
      <w:r>
        <w:t>BS Appellationsgericht, 2023-05-23, DE</w:t>
      </w:r>
    </w:p>
    <w:p>
      <w:r>
        <w:rPr>
          <w:b/>
        </w:rPr>
        <w:t xml:space="preserve">Quelle: </w:t>
      </w:r>
      <w:r>
        <w:t>https://mcp.opencaselaw.ch/entscheid/bs_appellationsgericht_SB.2020.87</w:t>
      </w:r>
    </w:p>
    <w:p>
      <w:r>
        <w:t>FR: BS_APPELLATIONSGERICHT SB.2020.87 du 23 mai 2023</w:t>
      </w:r>
    </w:p>
    <w:p>
      <w:r>
        <w:t>IT: BS_APPELLATIONSGERICHT SB.2020.87 del 23 maggio 2023</w:t>
      </w:r>
    </w:p>
    <w:p>
      <w:pPr>
        <w:pStyle w:val="Heading2"/>
      </w:pPr>
      <w:r>
        <w:t>Erwägungen</w:t>
      </w:r>
    </w:p>
    <w:p>
      <w:r>
        <w:rPr>
          <w:b/>
        </w:rPr>
        <w:t>E. 1</w:t>
      </w:r>
    </w:p>
    <w:p>
      <w:r>
        <w:t>Der Privatkläger B____ machte mit Eingabe vom 2. Oktober 2015 eine Schadenersatzforderung in Höhe von CHF 105'000., zuzüglich 5 % Zins seit dem 7. August 2014 geltend (Akten S. 132). Im Berufungsverfahren wurde bestätigt, dass dieser Betrag vom Berufungskläger veruntreut wurde. Zu prüfen gilt es nachfolgend, ob bzw. in welcher Höhe dem betreffenden Privatkläger tatsächlich ein Schaden entstanden ist.</w:t>
      </w:r>
    </w:p>
    <w:p>
      <w:r>
        <w:t>B____ erklärte in seiner Einvernahme vom 24. März 2015, dass von den überwiesenen CHF 257'000. ein Teil, konkret CHF 50'000., als Provision für seine Vermittlertätigkeit vorgesehen gewesen seien. Die restlichen CHF 207'000. seien Teil des Kaufpreises für die Sortieranlage gewesen und hätten somit faktisch der [...] GmbH gehört (Akten S. 629). Vor Appellationsgericht gab er demgegenüber zu Protokoll, der gesamte Betrag in Höhe von CHF 105'000. sei für ihn bestimmt gewesen (vgl. zweitinstanzliches Protokoll S. 5). Aufgrund dieser widersprüchlichen Aussagen des Privatklägers (und auch des Berufungsklägers, vgl. Aufstellung Akten S. 589, Akten S. 753 f., zweitinstanzliches Protokoll S. 4 f.) steht nicht fest, welcher Anteil der CHF 105000. dem Privatkläger persönlich zukam. Hinreichend erstellt ist mit der Vorinstanz einzig, dass B____ durch die Handlungen des Berufungsklägers im Umfang von CHF 50'000. geschädigt wurde. Der Berufungskläger ist daher in Bestätigung des Urteils der Vorinstanz zur Zahlung von CHF 50'000., zuzüglich Zins von 5% seit dem 15. Januar 2015 an B____ zu verurteilen. Die Mehrforderung im Betrage von CHF 55000. wird auf den Zivilweg verwiesen.</w:t>
      </w:r>
    </w:p>
    <w:p>
      <w:r>
        <w:rPr>
          <w:b/>
        </w:rPr>
        <w:t>E. 1.7</w:t>
      </w:r>
    </w:p>
    <w:p>
      <w:r>
        <w:t>1.7.1Das in Art. 5 StPO, Art. 29 Abs. 1 BV und Art. 6 Ziffer 1 EMRK festgeschriebene Beschleunigungsgebot verpflichtet die Behörden, das Strafverfahren voranzutreiben, um den Beschuldigten nicht unnötig über die gegen ihn erhobenen Vorwürfe im Ungewissen zu lassen (BGE 133 IV 158 E. 8, 130 IV 54 E. 3.3.1, 124 I 139 E. 2a; je mit Hinweisen). Gegenstand der Prüfung, ob ein Verfahren zu lange gedauert hat, ist das Verfahren in seiner Gesamtheit. Die Beurteilung der Verfahrensdauer entzieht sich starren Regeln. Es ist vielmehr in jedem Einzelfall unter Würdigung der konkreten Umstände zu prüfen, ob sich diese als angemessen erweist. Zu berücksichtigen sind insbesondere die Komplexität des Falls, das Verhalten des Angeschuldigten und die Behandlung des Falls durch die Behörden (BGE 130 IV 54 E. 3.3.3, 124 IV 137 E. 2c; je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(BGer 6B_670/2009 vom 17. November 2009 E. 2.2, 6B_105/2007 vom 2. November 2007 E. 3.3). Gemäss bundesgerichtlicher Rechtsprechung erscheint im Stadium der Untersuchung eine Untätigkeit von 13 oder 14 Monaten als krasse Lücke (BGE 117 IV 124 E. 4. a). Nach der Rechtsprechung kann aber auch in Fällen, in denen keine Verletzung des Beschleunigungsgebots vorliegt, der langen Verfahrensdauer mit einer Strafminderung Rechnung getragen werden (BGer 6S.467/2004 vom 11. Februar 2005 E. 2.2.2.4;Summers, in: Basler Kommentar StPO, 2. Auflage 2014, Art. 5 N 8;Wipräch­tiger/Keller, in: Basler Kommentar Strafrecht I, 4. Auflage 2018, Art. 47 N 186).</w:t>
      </w:r>
    </w:p>
    <w:p>
      <w:r>
        <w:t>Vorliegend handelt es sich um einen aufwendigen Straffall. Eine eigentliche Verletzung des Beschleunigungsgebots im Sinne von Art. 5 Abs. 1 StPO ist nicht auszumachen.  Trotzdem ist in Anbetracht der seit dem Deliktszeitraum (vom 18. Juli 2011 bis zum am 2. April 2019) verflossenen Zeit festzustellen, dass insgesamt von einer sehr langen Gesamtverfahrensdauer auszugehen ist, welche dem Berufungskläger strafmindernd in Rechnung gestellt werden kann.</w:t>
      </w:r>
    </w:p>
    <w:p>
      <w:r>
        <w:t>1.7.2Gemäss Art. 48 lit. e StGB ist die Strafe zu mildern, wenn das Strafbedürfnis in Anbetracht der seit der Tat verstrichenen Zeit deutlich vermindert ist und die Beurteilte sich in dieser Zeit wohl verhalten hat. Diese Strafmilderung kommt jedenfalls dann zur Anwendung, wenn bei Wohlverhalten zwei Drittel der Verfolgungsverjährungsfrist abgelaufen sind, wobei diese Zeitspanne in bestimmten Konstellationen unterschritten werden kann (BGE 140 IV 145 E. 3.1, 132 IV 1 E. 6.2;Trechsel/Seelmann, a.a.O., Art. 48 N 24). Wie der aktuelle Strafregisterauszug vom 24. April 2023 zeigt, wurde der Berufungskläger seit (seit den angeklagten Handlungen) am 22. Juli 2020 von der Staatsanwaltschaft Basel-Stadt wegen Urkundenfälschung verurteilt. Auch wenn es sich hierbei um ein verhältnismässig und verschuldensmässig wesentlich geringeren Fall handelt, kann Art. 48 lit. e StGB mangels Wohlverhalten bei Berufungskläger nicht angewendet werden (BGE 140 IV 145 E. 3.1; Mathys, a.a.O., Rz. 339 ff.;Wiprächtiger/Keller, a.a.O., Art. 48 StGB N 39 ff.).</w:t>
      </w:r>
    </w:p>
    <w:p>
      <w:r>
        <w:t>1.7.3Insgesamt führen die Täterkomponenten sowie die weiteren tat- und täterunabhängiger Umstände unter Würdigung aller Aspekte in leichtem Masse zu einer Herabsetzung der auszusprechenden Strafe. In Abwägung aller Aspekte erscheint eine Reduktion der hypothetischen Gesamtstrafe auf 20 Monate als angemessen.</w:t>
      </w:r>
    </w:p>
    <w:p>
      <w:r>
        <w:rPr>
          <w:b/>
        </w:rPr>
        <w:t>E. 2</w:t>
      </w:r>
    </w:p>
    <w:p>
      <w:r>
        <w:t>Dem amtlichen Verteidiger des Berufungsklägers, [...], ist für seine Bemühungen im Rechtsmittelverfahren eine Entschädigung aus der Gerichtskasse zu entrichten. Der von ihm mit Honorarnote vom 26. April 2022 geltend gemachte Zeitaufwand von 36,5 Stunden erscheint als angemessen, wobei ergänzend für die Teilnahme an der Hauptverhandlung vor Appellationsgericht insgesamt 5 Stunden zu berücksichtigen sind. Dem amtlichen Verteidiger werden somit für das Berufungsverfahren ein Honorar von CHF 8'300. und ein Auslagenersatz von CHF 36.50, zuzüglich 7,7 % MWST von CHF 641.90, insgesamt also CHF 8978.40, aus der Gerichtskasse ausgerichtet. Art. 135 Abs. 4 StPO bleibt für die Kosten der amtlichen Verteidigung im erstinstanzlichen Verfahren vollumfänglich und für das Berufungsverfahren im Umfang von 80 %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