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SB.2020.56 vom 16. Mai 2023</w:t>
      </w:r>
    </w:p>
    <w:p>
      <w:r>
        <w:t>BS Appellationsgericht, 2023-05-16, DE</w:t>
      </w:r>
    </w:p>
    <w:p>
      <w:r>
        <w:rPr>
          <w:b/>
        </w:rPr>
        <w:t xml:space="preserve">Quelle: </w:t>
      </w:r>
      <w:r>
        <w:t>https://mcp.opencaselaw.ch/entscheid/bs_appellationsgericht_SB.2020.56</w:t>
      </w:r>
    </w:p>
    <w:p>
      <w:r>
        <w:t>FR: BS_APPELLATIONSGERICHT SB.2020.56 du 16 mai 2023</w:t>
      </w:r>
    </w:p>
    <w:p>
      <w:r>
        <w:t>IT: BS_APPELLATIONSGERICHT SB.2020.56 del 16 maggio 2023</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Bei einem verurteilten Beschuldigten kann dies auch dann der Fall sein, wenn die Kostenauflage sie und die von ihr unterstützten Personen finanziell entscheidend belastet und in keinem vernünftigen Verhältnis zur Höhe der Strafe steht (Griesser: in Donatsch et al. [Hrsg.], Kommentar zur Schweizerischen Strafprozessordnung.</w:t>
      </w:r>
    </w:p>
    <w:p>
      <w:r>
        <w:rPr>
          <w:b/>
        </w:rPr>
        <w:t>E. 3</w:t>
      </w:r>
    </w:p>
    <w:p>
      <w:r>
        <w:t>Nach dem Gesagten ist das Erlassgesuch bezüglich der Verfahrenskosten teilweise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