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SB.2020.25 vom 14. Dezember 2021</w:t>
      </w:r>
    </w:p>
    <w:p>
      <w:r>
        <w:t>BS Appellationsgericht, 2021-12-14, DE</w:t>
      </w:r>
    </w:p>
    <w:p>
      <w:r>
        <w:rPr>
          <w:b/>
        </w:rPr>
        <w:t xml:space="preserve">Quelle: </w:t>
      </w:r>
      <w:r>
        <w:t>https://mcp.opencaselaw.ch/entscheid/bs_appellationsgericht_SB.2020.25</w:t>
      </w:r>
    </w:p>
    <w:p>
      <w:r>
        <w:t>FR: BS_APPELLATIONSGERICHT SB.2020.25 du 14 décembre 2021</w:t>
      </w:r>
    </w:p>
    <w:p>
      <w:r>
        <w:t>IT: BS_APPELLATIONSGERICHT SB.2020.25 del 14 dicembre 2021</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Die Legitimation der Staatsanwaltschaft zur Erhebung der Berufung stützt sich auf Art. 381 Abs. 1 StPO. Sie hat ihre Berufung nach Art. 399 Abs. 1 und 3 StPO form- und fristgerecht angemeldet und erklärt. Es ist daher auf diese einzutreten. Zuständiges Berufungsgericht ist gemäss § 88 Abs. 1 in Verbindung mit § 92 Abs. 1 Ziff. 1 des baselstädtischen Gerichtsorganisationsgesetzes (GOG, SG 154.100) ein Dreiergericht des Appellationsgerichts.</w:t>
      </w:r>
    </w:p>
    <w:p>
      <w:r>
        <w:t>1.2Im Rechtsmittelverfahren gilt die Dispositionsmaxime. Die Berufung kann demgemäss auf die Anfechtung von Teilen des Urteils beschränkt werden (Art. 399 Abs. 3 lit. a und Abs. 4 StPO). Erfolgt eine Teilanfechtung, erwachsen die nicht angefochtenen Punkte in Teilrechtskraft. Die Schuldsprüche wegen Fahrens in fahr­unfähigem Zustand (Motorfahrzeug, qualifizierte Atemalkohol- oder Blutalkohol­konzentration), versuchte Vereitelung von Massnahmen zur Feststellung der Fahrunfähigkeit (Motorfahrzeugführer), pflichtwidrigen Verhaltens bei Unfall und Verletzung der Verkehrsregeln sind deshalb in Rechtskraft erwachsen. Darüber ist im Berufungsverfahren nicht mehr zu befinden</w:t>
      </w:r>
    </w:p>
    <w:p>
      <w:r>
        <w:rPr>
          <w:b/>
        </w:rPr>
        <w:t>E. 2</w:t>
      </w:r>
    </w:p>
    <w:p>
      <w:r>
        <w:t>2.1Die Berufungsklägerin beantragt, dass die am 14. Februar 2017 von der Staatsanwaltschaft Basel-Landschaft bedingt ausgesprochene Geldstrafe von 120 Tagessätzen zu CHF 100. entgegen der Annahme der Vorinstanz zu wider­rufen sei. Zusammen mit dem Schuldspruch bezüglich des Fahrens in fahrunfähigem Zustand (Motorfahrzeug, qualifizierte Atemalkohol- oder Blutalkoholkonzentration), der versuchten Vereitelung von Massnahmen zur Feststellung der Fahrunfähigkeit (Motorfahrzeugführer), des pflichtwidrigen Verhaltens bei Unfall und der Verletzung der Verkehrsregeln seien gegenüber dem Berufungsbeklagten folglich im Sinne einer Gesamtstrafe eine unbedingte Geldstrafe von 150 Tagessätzen zu CHF 60. sowie eine Busse von CHF 500. auszusprechen.</w:t>
      </w:r>
    </w:p>
    <w:p>
      <w:r>
        <w:t>2.2Begeht der Verurteilte während der Probezeit ein Verbrechen oder Vergehen und ist deshalb zu erwarten, dass er weitere Straftaten verüben wird, so widerruft das Gericht die bedingte Strafe oder den bedingten Teil der Strafe. Sind die widerrufene und die neue Strafe gleicher Art, so bildet es in sinngemässer Anwendung von Artikel 49 Strafgesetzbuch (StGB, SR 311.0) eine Gesamtstrafe (Art. 46 Abs. 1 StGB). Ist nicht zu erwarten, dass der Verurteilte weitere Straftaten begehen wird, so verzichtet das Gericht auf einen Widerruf. Es kann den Verurteilten verwarnen oder die Probezeit um höchstens die Hälfte der im Urteil festgesetzten Dauer verlängern. Für die Dauer der verlängerten Probezeit kann das Gericht Bewährungshilfe anordnen und Weisungen erteilen. Erfolgt die Verlängerung erst nach Ablauf der Probezeit, so beginnt sie am Tag der Anordnung (Art. 46 Abs. 2 StGB).</w:t>
      </w:r>
    </w:p>
    <w:p>
      <w:r>
        <w:t>Der Widerruf ist nur anzuordnen, wenn von einer negativen Einschätzung der Bewährungsaussichten auszugehen ist, d.h., wenn aufgrund der erneuten Straffälligkeit eine eigentliche Schlechtprognose besteht (BGE 134 IV 140 E. 4.3). Die Prüfung der Bewährungsaussichten ist anhand einer Gesamtwürdigung aller wesentlichen Umstände vorzunehmen. Dem Sachgericht steht bei der Beurteilung der Legalprognose ein Ermessensspielraum zu. In die Beurteilung sind neben den Tatumständen auch das Vorleben und der Leumund sowie alle weiteren Tatsachen miteinzubeziehen, die gültige Schlüsse auf den Charakter des Täters und die Aussichten seiner Bewährung zulassen. Relevante Faktoren sind etwa strafrechtliche Vorbelastung, Sozialisationsbiographie und Arbeitsverhalten, soziale Bindungen, Hinweise auf Suchtgefährdungen usw. Dabei sind die persönlichen Verhältnisse bis zum Zeitpunkt des Entscheids miteinzubeziehen. Wie bei der Strafzumessung müssen die Gründe im Urteil so wiedergegeben werden, dass sich die richtige Anwendung des Bundesrechts überprüfen lässt (BGE 134 IV 140 E. 4.4; BGer 6B_195/2017 vom 9. November 2017 E. 4.3; je mit Hinweisen; zum Ganzen BGer 6B_668/2019 vom 21. Oktober 2019 E. 2.1; vgl. auch AGE SB.2017.133 vom 10. April 2017 E. 3.4.1). In die Beurteilung der Bewährungsaussichten ist auch miteinzubeziehen, ob die neue Strafe bedingt oder unbedingt ausgesprochen wird. Das Gericht kann zum Schluss kommen, dass vom Widerruf des bedingten Vollzugs für die frühere Strafe abgesehen werden kann, wenn die neue Strafe vollzogen wird. Dies kann insbesondere unter dem Aspekt der Resozialisierung eine angemessene und sinnvolle Lösung sein (BGE 107 IV 91 E. 2.d). Auch das Umgekehrte ist zulässig: Wenn die frühere Strafe widerrufen wird, kann unter Berücksichtigung ihres nachträglichen Vollzugs eine Schlechtprognose für die neue Strafe im Sinne von Art. 42 Abs. 1 StGB verneint und diese folglich bedingt ausgesprochen werden (BGE 144 IV 277 E. 3.2, 134 IV 140 E. 4.5; BGer 6B_744/2020 vom 26. Oktober 2020 E. 1.3, 6B_677/2019 vom 12. Dezember 2019 E. 1.1.1;Schneider/Garré, in: Basler Kommentar,</w:t>
      </w:r>
    </w:p>
    <w:p>
      <w:r>
        <w:rPr>
          <w:b/>
        </w:rPr>
        <w:t>E. 4</w:t>
      </w:r>
    </w:p>
    <w:p>
      <w:r>
        <w:t>4.1Hinsichtlich der erstinstanzlichen Kosten gilt es Art. 426 Abs. 1 StPO zu beachten, wonach die beschuldigte Person die Verfahrenskosten trägt, wenn sie verurteilt wird. Der Berufungsbeklagte hat somit die Kosten von CHF 2'740.30 sowie eine Urteilsgebühr von CHF 200. für das erstinstanzliche Verfahren zu entrichten.</w:t>
      </w:r>
    </w:p>
    <w:p>
      <w:r>
        <w:t>4.2Für die Kosten des Rechtsmittelverfahrens kommt Art. 428 Abs. 1 StPO zum Tragen. Ob beziehungsweise inwieweit eine Partei im Sinne dieser Bestimmung obsiegt oder unterliegt, hängt davon ab, in welchem Ausmass ihre vor der zweiten Instanz gestellten Anträge gutgeheissen werden (BGer 6B_1025/2014 vom 9. Februar 2015 E. 2.4.1; AGE SB.2019.98 vom 1. Juni 2021 E. 7.2). Die Berufung der Staatsanwaltschaft ist vollumfänglich abzuweisen. Für das zweitinstanzliche Verfahren werden entsprechend dem Verfahrensausgang keine Kosten erhoben. Der amtlichen Verteidigerin des Berufungsbeklagten, B____[...], Rechtsanwältin,ist für ihre Bemühungen im Rechtsmittelverfahren eine Parteientschädigung aus der Gerichtskasse zu entrichten. Der von ihr mit Honorarnote vom 13. Dezember 2021 geltend gemachte Zeitaufwand erscheint angemessen. Demnach ist ihr ein Honorar von CHF 1'958.40. (inkl. 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