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SB.2019.95 vom 1. Oktober 2021</w:t>
      </w:r>
    </w:p>
    <w:p>
      <w:r>
        <w:t>BS Appellationsgericht, 2021-10-01, DE</w:t>
      </w:r>
    </w:p>
    <w:p>
      <w:r>
        <w:rPr>
          <w:b/>
        </w:rPr>
        <w:t xml:space="preserve">Quelle: </w:t>
      </w:r>
      <w:r>
        <w:t>https://mcp.opencaselaw.ch/entscheid/bs_appellationsgericht_SB.2019.95</w:t>
      </w:r>
    </w:p>
    <w:p>
      <w:r>
        <w:t>FR: BS_APPELLATIONSGERICHT SB.2019.95 du 1 octobre 2021</w:t>
      </w:r>
    </w:p>
    <w:p>
      <w:r>
        <w:t>IT: BS_APPELLATIONSGERICHT SB.2019.95 del 1 ottobre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daher auf die Anfechtung von Teilen des Urteils beschränkt werden (Art. 399 Abs. 3 lit. a und Abs.</w:t>
      </w:r>
    </w:p>
    <w:p>
      <w:r>
        <w:rPr>
          <w:b/>
        </w:rPr>
        <w:t>E. 4</w:t>
      </w:r>
    </w:p>
    <w:p>
      <w:r>
        <w:t>4.1Der Berufungskläger beantragt, es sei ihm eine Genugtuung in Höhe von CHF 10'000. für die erlittene Unbill zuzusprechen. Die Verteidigerin hat in der Berufungsverhandlung dazu ausgeführt, die ungerechtfertigte Untersuchungs- und Sicherheitshaft, die Hausdurchsuchung, die Durchsuchung des Arbeitsortes, die Hausdurchsuchungen beim Onkel und der Cousine des Berufungsklägers sowie das Breitschlagen der Ereignisse in den Medien stellten eine besonders schwere Persönlichkeitsverletzung dar. Aufgrund des Herzinfarktes des Bruders und der Hausdurchsuchungen bei den Verwandten sei das Verhältnis zu diesen getrübt und er habe Probleme im Familienleben. Zudem sei wegen seines Gesundheitszustandes das Strafverfahren physisch und psychisch sehr belastend für ihn gewesen. (Prot. Berufungsverhandlung Akten S. 687, Plädoyer Akten S. 681).</w:t>
      </w:r>
    </w:p>
    <w:p>
      <w:r>
        <w:rPr>
          <w:b/>
        </w:rPr>
        <w:t>E. 4.2</w:t>
      </w:r>
    </w:p>
    <w:p>
      <w:r>
        <w:t>4.2.1Nach Art. 429 Abs. 1 lit. c StPO hat eine beschuldigte Person, wenn sie freigesprochen oder das Verfahren gegen sie eingestellt wird, Anspruch aufGenugtuungfür besonders schwere Verletzungen ihrer persönlichen Verhältnisse. Nebst dem Freiheitsentzug können beispielsweise eine öffentlich durchgeführte oder in den Medien stark beachtete Verhaftung oder Hausdurchsuchung, eine sehr lange Verfahrensdauer, persönlichkeitsverletzende Mitteilungen der Strafbehörden an die Medien oder die Auswirkungen der Strafuntersuchung auf familiäre oder professionelle Beziehungen eine schwere Verletzung der persönlichen Verhältnisse verursachen (Wehrenberg/Frank, a.a.O., Art. 429 N 27, mit Hinweisen; BGE 146 IV 231 E. 2.3.1). Hingegen genügt die mit jedem Strafverfahren grundsätzlich einhergehende psychische Belastung, Demütigung und Blossstellung gegen aussen im Regelfall nicht für die Zusprechung einer Genugtuung (Urteil 6B_1087/2017 vom 18. Januar 2018 E. 1.2. mit Hinweis auf BGE 143 IV 339 E. 3.1 S. 341 f.; Urteil 6B_1049/2016 vom 22. November 2017 E. 3.1.2; mit Hinweisen;Schmid/Jositsch, Handbuch des schweizerischen Strafprozessrechts, 3. Auflage, Zürich 2017, N 1816). Damit Anspruch aufGenugtuungbesteht, müssen erschwerende Umstände hinzukommen. Die beschuldigte Person muss somit durch das Vorgehen der Behörden, über die blosse Führung des Strafverfahrens hinaus, in ihren persönlichen Verhältnissen besonders schwerwiegend verletzt worden sein. Materiellrechtlich beurteilt sich der Genugtuungsanspruch nach Art. 28a Abs. 3 des Zivilgesetzbuches (ZGB, SR 210) und Art. 49 des Obligationenrechts (OR, SR 220) (BGE 146 IV 231 E. 2.3.1; BGE 143 IV 339 E. 3.1; Urteil 6B_688/2014 vom 22. Dezember 2017 E. 30.2.1 mit Hinweisen). Erforderlich ist, dass die erlittene Persönlichkeitsverletzung mit dem Strafverfahren in einem Kausalzusammenhang im Sinne des Haftpflichtrechts steht (Urteile 6B_1342/2016 vom 12. Juli 2017 E. 4.2; 6B_129/2016 vom 2. Mai 2016 E. 4.2; mit Hinweisen;Griesser, in: Donatsch et al [Hrsg.], Kommentar zur Strafprozessordnung, Zürich/Basel/Genf 2020, Art. 429 N 7;Wehrenberg/Frank, a.a.O., Art. 429 N 10 und 26 ff.).</w:t>
      </w:r>
    </w:p>
    <w:p>
      <w:r>
        <w:t>4.2.2Die Strafbehörde prüft den Genugtuungsanspruch von Amtes wegen (Art. 429 Abs. 2 Satz 1 StPO). Jedoch hat die antragstellende Person ihre Ansprüche zu begründen und zu belegen. Art. 429 Abs. 2 StPO dispensiert die beweispflichtige Person nicht von ihren Mitwirkungspflichten; dies entspricht der zivilrechtlichen Regel (Art. 42 Abs. 1 OR), wonach wer Schadenersatz beansprucht, den Schaden zu beweisen hat (BGer 6B_476/2018 vom 31. Oktober 2018 E. 4.1 mit Hinweis auf BGer 6B_353/2018 vom 30. Mai 2018 E. 1.3 und 6B_666/2014 vom 16. Dezember 2014 E. 4.1; BGE 142 IV 237 E. 1.3.1 S. 240).</w:t>
      </w:r>
    </w:p>
    <w:p>
      <w:r>
        <w:t>4.2.3Zur Bestimmung der Genugtuungshöhe sind die Dauer und die Umstände der Persönlichkeitsverletzung, insbesondere der Verhaftung massgebend. Zu berücksichtigen sind auch die Schwere des vorgeworfenen Delikts sowie die Auswirkungen auf die persönliche Situation der verhafteten Person und die Belastung durch das Verfahren, beispielsweise durch extensive Medienberichterstattung. Es ist mithin eine Einzelfallbeurteilung vorzunehmen, wobei dem Gericht ein grosser Ermessensspielraum zukommt (Wehrenberg/Frank, a.a.O., Art. 429 N 28, 30).</w:t>
      </w:r>
    </w:p>
    <w:p>
      <w:r>
        <w:rPr>
          <w:b/>
        </w:rPr>
        <w:t>E. 4.3</w:t>
      </w:r>
    </w:p>
    <w:p>
      <w:r>
        <w:t>4.3.1Der Berufungskläger wurde am 6. Juni 2017 an seinem Arbeitsplatz festgenommen und befand sich bis zum 8. Juni 2017 in Polizeigewahrsam. Das Bundesgericht erachtet bei kürzeren Freiheitsentzügen CHF 200. pro Tag als angemesseneGenugtuung, sofern nicht aussergewöhnliche Umstände vorliegen, die eine höhere oder eine geringere Entschädigung zu rechtfertigen vermögen (BGE 146 IV 231 E. 2.3.2; BGer 6B_531/2019 vom 20. Juni 2019 E. 1.2.2; BGE 143 IV 339 E. 3.1). Solche aussergewöhnlichen Umstände werden vorliegend vom Berufungskläger nicht geltend gemacht und sind auch nicht ersichtlich. Damit ist er praxisgemäss für zwei Tage Freiheitsentzug mit einer Genugtuung von CHF 400. zu entschädigen.</w:t>
      </w:r>
    </w:p>
    <w:p>
      <w:r>
        <w:t>4.3.2Nicht gefolgt werden kann der Verteidigung, soweit sie geltend macht, die vorgenommenen Untersuchungshandlungen und Zwangsmassnahmen, namentlich die Hausdurchsuchungen seien ungerechtfertigt gewesen. Angesichts seiner unbedachten und unkontrollierten Äusserungen war der initiale Verdacht, der Berufungskläger könnte in die Planung terroristischer Aktivitäten involviert sein, keineswegs von der Hand zu weisen.Die ohne weiteren Verzug und ordnungsgemäss durchgeführten Hausdurchsuchungen waren somit aus damaliger Sicht durchaus angezeigt.Allerdings erlitt der Bruder des Berufungsklägers, welcher an der gleichen Stoffwechselerkrankung leidet wie er, im Zuge der am Wohnort der Familie durchgeführten Hausdurchsuchung aufgrund der starken emotionalen Belastung einen lebensgefährlichen Herzinfarkt und musste während mehrerer Tage intensivmedizinisch behandelt werden (vgl. Aktennotiz Akten S. 405). Aufgrund der zweifellos engen familiären Beziehung des Berufungsklägers zu seinem Bruder, welcher sich mehrere Tage lang in einem überaus kritischen Gesundheitszustand befand, ist von einem schweren Eingriff in die Persönlichkeit des Berufungsklägers auszugehen, welcher sich grundsätzlich genugtuungsbegründend auswirkt. Zwar war die Hausdurchsuchung kausal für den Herzinfarkt des Bruders. Allerdings ist dazu anzumerken, dass die Adäquanz zur durchgeführten Hausdurchsuchung nur knapp zu bejahen ist, bestand aufgrund der genannten Stoffwechselkrankheit doch offensichtlich eine deutliche gesundheitliche Prädisposition des Bruders für schwere Reaktionen auf mit emotionalem Stress verbundene behördliche Eingriffe, welche von gesunden Menschen in aller Regel ohne lebensgefährliche Gesundheitsprobleme verkraftet werden. Die offensichtliche Prädisposition ergibt sich insbesondere auch aus dem Umstand, dass der Berufungskläger aufgrund seiner Stoffwechselkrankheit ebenfalls bereits mehrere Infarkte erlitten hat (vgl. dazu Prot. Berufungsverhandlung Akten S. 684). Angesichts der zwar nur wenige Tage andauernden, jedoch äusserst intensiven seelischen Unbill erscheint unter Berücksichtigung der Prädisposition des Bruders eine Genugtuung in Höhe von CHF 1'000. angemessen. Hingegen führen weder die Durchsuchung des Arbeitsorts des Berufungsklägers noch die Hausdurchsuchungen am Wohnort seines Onkels und seiner Cousine zu einer weiteren Erhöhung der Genugtuung, hat der Berufungskläger doch nicht dargelegt, inwiefern diese Massnahmen für ihn zu familiären bzw. sozialen Probleme geführt haben, die mit einer schwerwiegenden Persönlichkeitsverletzung gleichzusetzen wären.</w:t>
      </w:r>
    </w:p>
    <w:p>
      <w:r>
        <w:t>4.3.3Schliesslich ist auch nicht belegt, inwiefern die Berichterstattung in den Medien  die zwar durchaus ausführlich, aber nicht unter namentlicher Nennung des Berufungsklägers erfolgte  zu einer gravierenden Verletzung der Persönlichkeit des Berufungsklägers geführt haben soll. Zwar kann auch eine anonymisierte Berichterstattung eine schwere Persönlichkeitsverletzung darstellen, wenn dem Beschuldigten bekannte Personen diesen als Täter identifizieren können, weil sie über mehr Wissen als die Allgemeinheit verfügen, etwa die Arbeitgeberin oder Kollegen (vgl.Vetterli, Genugtuung für Polizeihaft und anonymisierte Berichterstattung, ius.focus, September 2020, Heft 9, p. 240 ff. mit Hinweis auf BGE 146 IV E. 2.6.1). Solches wurde aber vorliegend in keinster Weise dargelegt. Abgesehen von den üblichen Nachteilen und Erschwernissen, welche eine Strafuntersuchung und eine kurzzeitige Inhaftierung mit sich bringen, sind keine darüber hinaus gehenden konkreten physischen oder psychischen Folgen für den Berufungskläger erkennbar bzw. substantiiert. Zusammenfassend ist dem Berufungskläger damit in Anwendung vonArt. 429 Abs. 1 lit. cStPO eine Genugtuung in Höhe von CHF 1400. aus der Gerichtskasse auszurichten. Die Mehrforderung von CHF 8'600. wird abgewiesen.</w:t>
      </w:r>
    </w:p>
    <w:p>
      <w:r>
        <w:rPr>
          <w:b/>
        </w:rPr>
        <w:t>E. 5</w:t>
      </w:r>
    </w:p>
    <w:p>
      <w:r>
        <w:t>5.1Aufgrund des vollumfänglichen kostenlosen Freispruchs gehen sämtliche erst- und zweitinstanzliche Verfahrenkosten zu Lasten des Staates (Art. 426 Abs. 2, 428 Abs. 1 StPO).</w:t>
      </w:r>
    </w:p>
    <w:p>
      <w:r>
        <w:t>5.2Für das erstinstanzliche Verfahren wurde der Verteidigerin ein Honorar von insgesamt CHF 8'285.15 aus der Strafgerichtskasse zugesprochen. Der Rückzahlungsvorbehalt gemäss Art. 135 Abs. 4 StPO findet infolge des Obsiegens des Berufungsklägers keine Anwendung. Dies gilt auch für die zweitinstanzlichen Kosten, für welche die amtliche Verteidigerin ebenfalls aus der Gerichtskasse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