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SB.2019.80 vom 16. Mai 2023</w:t>
      </w:r>
    </w:p>
    <w:p>
      <w:r>
        <w:t>BS Appellationsgericht, 2023-05-16, DE</w:t>
      </w:r>
    </w:p>
    <w:p>
      <w:r>
        <w:rPr>
          <w:b/>
        </w:rPr>
        <w:t xml:space="preserve">Quelle: </w:t>
      </w:r>
      <w:r>
        <w:t>https://mcp.opencaselaw.ch/entscheid/bs_appellationsgericht_SB.2019.80</w:t>
      </w:r>
    </w:p>
    <w:p>
      <w:r>
        <w:t>FR: BS_APPELLATIONSGERICHT SB.2019.80 du 16 mai 2023</w:t>
      </w:r>
    </w:p>
    <w:p>
      <w:r>
        <w:t>IT: BS_APPELLATIONSGERICHT SB.2019.80 del 16 maggio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(vgl. statt vieler AGE SB.2019.58 vom 15. Februar 2023 E. 1). Das Berufungsurteil vom 7. September 2021 wurde durch das Appellationsgericht erlassen, weshalb zur Behandlung des Kostenerlassgesuchs dessen Instruktionsrichterin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(vgl. dazuGriesser, in: Donatsch et al. [Hrsg.], Kommentar zur Schweizerischen Strafprozessordnung, 3. Auflage, Zürich 2020, Art. 425 N 1a;Domeisen, a.a.O., Art. 425 StPO N 4; vgl. statt vieler AGE SB.2018.131 vom 9. Februar 2023 E. 2.1).</w:t>
      </w:r>
    </w:p>
    <w:p>
      <w:r>
        <w:t>2.2Aus den eingereichten Unterlagen ist ersichtlich, dass der Gesuchsteller Leistungen der Arbeitslosenversicherung bezog und von der Sozialhilfe unterstützt wurde. Seit dem 2. Februar 2023 ist er in einem unbefristeten Vertragsverhältnis bei der [...] als Fachmann für Oberflächenschutzbehandlung auf Abruf im Stundenlohn von brutto CHF 35.85 angestellt. Gemäss Lohnabrechnung hat er im Monat Februar 2023 einen Lohn von netto CHF 2812.05 erzielt. Weiter ist mit den Darlegungen des Gesuchstellers nachvollziehbar, dass sich aufgrund eines Unfalls bestehende Knie-Beschwerden verschlechtert haben und er insbesondere auch unter psychischen gesundheitlichen Beeinträchtigungen leidet. Gemäss Scheidungsvereinbarung vom 28. September 2022 hat der Gesuchsteller basierend auf einem angenommenen Nettoeinkommen von CHF 4'000. an den Unterhalt seiner Töchter ab 1. November 2022 einen monatlich im Voraus zu bezahlenden Beitrag in Höhe von jeweils CHF 500. für jedes Kind auszurichten. Zudem sollen die Kinder weiterhin über den Gesuchsteller krankenversichert sein. Gemäss Scheidungsvereinbarung werden die Kinder von ihrem Vater vom Mittwoch nach Schulschluss bis Mittwochabend (inklusive Abendessen beim Vater) und jedes zweite Wochenende von Freitagnachmittag nach der Schule bis Sonntagabend (inklusive Abendessen beim Vater) betreut. Weiter hat der Gesuchsteller belegt, dass er neben den Kosten für seinen Grundbedarf verschiedene Schulden zu begleichen hat.</w:t>
      </w:r>
    </w:p>
    <w:p>
      <w:r>
        <w:t>2.3Es ist somit nachgewiesen, dass die finanzielle Situation des Gesuchstellers äusserst angespannt ist. Angesichts seiner anhaltend schlechten gesundheitlichen Verfassung und seinem Eintrag im Strafregister ist zudem davon auszugehen, dass sich seine wirtschaftlichen Verhältnisse in naher Zukunft nicht wesentlich verbessern werden. Der Gesuchsteller wird somit mit grosser Wahrscheinlichkeit auch in Zukunft nicht in der Lage sein, ohne Gefährdung seiner Resozialisierung die Verfahrenskosten von CHF 24'088.95 zu bezahlen. Um ihm die Möglichkeit zu geben, seine deliktische Vergangenheit ganz hinter sich zu lassen und wieder nach vorne zu schauen, sind ihm die verbleibenden Verfahrenskosten von CHF 24'088.95 zu erlassen.</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