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SB.2019.76 vom 13. Juli 2022</w:t>
      </w:r>
    </w:p>
    <w:p>
      <w:r>
        <w:t>BS Appellationsgericht, 2022-07-13, DE</w:t>
      </w:r>
    </w:p>
    <w:p>
      <w:r>
        <w:rPr>
          <w:b/>
        </w:rPr>
        <w:t xml:space="preserve">Quelle: </w:t>
      </w:r>
      <w:r>
        <w:t>https://mcp.opencaselaw.ch/entscheid/bs_appellationsgericht_SB.2019.76</w:t>
      </w:r>
    </w:p>
    <w:p>
      <w:r>
        <w:t>FR: BS_APPELLATIONSGERICHT SB.2019.76 du 13 juillet 2022</w:t>
      </w:r>
    </w:p>
    <w:p>
      <w:r>
        <w:t>IT: BS_APPELLATIONSGERICHT SB.2019.76 del 13 luglio 2022</w:t>
      </w:r>
    </w:p>
    <w:p>
      <w:pPr>
        <w:pStyle w:val="Heading2"/>
      </w:pPr>
      <w:r>
        <w:t>Erwägungen</w:t>
      </w:r>
    </w:p>
    <w:p>
      <w:r>
        <w:rPr>
          <w:b/>
        </w:rPr>
        <w:t>E. 1</w:t>
      </w:r>
    </w:p>
    <w:p>
      <w:r>
        <w:t>1.1Gemäss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18. Mai 2021 wurde durch das Appellationsgericht erlassen, weshalb zur Behandlung des Kostenerlassgesuchs dessen Instruktionsrichterin zuständig ist.</w:t>
      </w:r>
    </w:p>
    <w:p>
      <w:r>
        <w:t>1.2Das Erlassgesuch von A____ bezieht sich auf den Betrag gemäss Rechnung vom 30. März 2022 in Höhe von CHF 47815.76. Dieser setzt sich zusammen aus den Verfahrenskosten für die erste und zweite Instanz von insgesamt CHF 46150.40 (abzüglich der Kaution von CHF 134.64) und einer Geldstrafe von CHF 1800.. Der Erlass einer Geldstrafe ist im Gesetz nicht vorgesehen. Diese wird bei Nichtbezahlung und Uneinbringlichkeit auf dem Betreibungsweg in Freiheitsstrafe umgewandelt (Art. 36 Abs. 1 des Strafgesetzbuches [StGB, SR 311.0]). Der Gesuchsteller bleibt demnach weiterhin zur Zahlung der Geldstrafe in Höhe von CHF 1800. verpflichtet. Begehren um diesbezügliche Ratenzahlung sind an das Justiz- und Sicherheitsdepartement, Bereich Services (Inkasso Strafverfahren), zu richten, wohin das Gesuch in Anwendung von Art. 39 Abs. 1 der Strafprozessordnung (StPO, SR 312.0) denn auch weitergeleitet wird (Art. 35 Abs. 1 StGB). Auf das Erlassgesuch hinsichtlich der Geldstrafe ist somit nicht einzutreten. Das Erlassgesuch ist folglich «nur» im Umfang der in Rechnung gestellten Verfahrenskosten der ersten und zweiten Instanz von insgesamt CHF 46'015.76 (CHF 46150.40 abzüglich der Kaution von CHF 134.64) zu beurteilen.</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(vgl. dazuGriesser, in: Donatsch et al. [Hrsg.], Kommentar zur Schweizerischen Strafprozessordnung, 3. Auflage, Zürich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2.2Dem Gesuchsteller ist seit dem 13. November 2017 die Freiheit entzogen, aktuell befindet er sich in der Justizvollzugsanstalt Thorberg. Während dieser Zeit konnte er folglich kein reguläres Einkommen erzielen und wird dies auch in Zukunft nicht tun können, zumal er im Anschluss an die verbüsste Strafhaft zwecks Vollzugs der achtjährigen Landesverweisung unmittelbar in sein Heimatland [...] verbracht werden wird. Zurzeit verfügt er lediglich über ein bescheidenes Pekulium (Art. 83 StGB). Mit diesem bezahlt er neben Alltagsgegenständen gemäss den eingereichten Auszügen seiner Konten auch regelmässige Beiträge an seine Noch-Ehefrau (am 11. Juli 2022 hat gemäss beigebrachter Vorladung des Zivilgerichts offenbar eine Anhörung im Rahmen einer Scheidung auf gemeinsames Begehren im Sinne von Art. 111 Abs. 1 des Zivilgesetzbuches [ZGB, SR 210] stattgefunden). Schliesslich wird er daraus auch noch die aufgrund des Schuldspruchs wegen qualifizierter Geldwäscherei zusätzlich ausgesprochene Geldstrafe (Art. 305bisZiff. 2 lit. b StGB) bezahlen müssen (allenfalls per Ratenzahlung [vgl. dazu schon E. 1.2]).</w:t>
      </w:r>
    </w:p>
    <w:p>
      <w:r>
        <w:t>2.3A____ muss nach dem Gesagten als mittellos bezeichnet werden. Unter diesen Umständen erscheint eine Kostenauflage im Sinne des vorstehend Ausgeführten als unbillig, zumal sich an seiner finanziellen Situation bis zu seiner Repatriierung nichts ändern wird. Auch ist er in seiner Bereitschaft, den finanziellen Verpflichtungen gegenüber seiner Noch-Ehefrau bzw. der gemeinsamen Tochter nachzukommen, zu unterstützen und ihm in der Heimat eine geordnete Wiedereingliederung zu ermöglichen. Kommt dazu, dass im Falle seiner wirtschaftlichen Besserstellung auch noch der Rückforderungsvorbehalt bezüglich der Entschädigung seiner amtlichen Verteidigung in Höhe von CHF 11629.30 aktiviert würde. Vor diesem Hintergrund kann dem Gesuchsteller auch eine Ratenzahlung nicht zugemutet werden. Es rechtfertigt sich deshalb, ihm die gesamten Verfahrenskosten (inklusive der Mahngebühr) zu erlassen.</w:t>
      </w:r>
    </w:p>
    <w:p>
      <w:r>
        <w:rPr>
          <w:b/>
        </w:rPr>
        <w:t>E. 3</w:t>
      </w:r>
    </w:p>
    <w:p>
      <w:r>
        <w:t>Nach dem Gesagten ist das Erlassgesuch bezüglich der Verfahrenskosten gutzuheissen. Betreffend die Geldstrafe kann auf das Gesuch indes nicht eingetreten werden.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