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SB.2019.58 vom 15. Februar 2023</w:t>
      </w:r>
    </w:p>
    <w:p>
      <w:r>
        <w:t>BS Appellationsgericht, 2023-02-15, DE</w:t>
      </w:r>
    </w:p>
    <w:p>
      <w:r>
        <w:rPr>
          <w:b/>
        </w:rPr>
        <w:t xml:space="preserve">Quelle: </w:t>
      </w:r>
      <w:r>
        <w:t>https://mcp.opencaselaw.ch/entscheid/bs_appellationsgericht_SB.2019.58</w:t>
      </w:r>
    </w:p>
    <w:p>
      <w:r>
        <w:t>FR: BS_APPELLATIONSGERICHT SB.2019.58 du 15 février 2023</w:t>
      </w:r>
    </w:p>
    <w:p>
      <w:r>
        <w:t>IT: BS_APPELLATIONSGERICHT SB.2019.58 del 15 febbraio 2023</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Geldstrafen oder Bussen.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Das Berufungsurteil vom 23. September 2022 wurde durch das Appellationsgericht erlassen, weshalb zur Behandlung des Kostenerlassgesuchs dessen Instruktionsrichterin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Zürich 2020, Art. 425 N 1a;Domeisen, a.a.O., Art. 425 StPO N 4; vgl. statt vieler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SB.2017.73 vom 24. März 2021 E. 2.1, SB.2014.28 vom 28. August 2019 E. 2.1, SB.2017.64 vom 25. Januar 2019 E. 2.1 mit Hinweisen). Weit weniger weit geht demgegenüber eine Ratenzahlung. Mit der Konzipierung von Art. 425 StPO als Kann-Bestimmung bleibt der zuständigen Strafbehörde ein grosser Ermessensspielraum (Griesser, a.a.O., Art. 425 N 1a).</w:t>
      </w:r>
    </w:p>
    <w:p>
      <w:r>
        <w:t>2.2Das vorliegende Kostenerlassgesuch wurde damit begründet, dass der Gesuchsteller eine IV-Rente und Ergänzungsleistungen beziehe und über keine relevanten Ersparnisse verfüge. Aus den beigebrachten Unterlagen ergibt sich, dass der Gesuchsteller weder über vorhandene Mittel verfügt noch in absehbarer Zeit ein Einkommen erzielen wird, welches es ihm ermöglichen würde, die ausstehenden Gerichtskosten auch nur teilweise oder in Raten abzubezahlen. Dem Kostenerlassgesuch seiner Beiständin ist daher zu entsprechen, und sowohl die Gerichtskosten der ersten Instanz als auch jene des Appellationsgerichts sind zu erlassen. Für die Beträge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