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SB.2019.43 vom 11. Juni 2019</w:t>
      </w:r>
    </w:p>
    <w:p>
      <w:r>
        <w:t>BS Appellationsgericht, 2019-06-11, DE</w:t>
      </w:r>
    </w:p>
    <w:p>
      <w:r>
        <w:rPr>
          <w:b/>
        </w:rPr>
        <w:t xml:space="preserve">Quelle: </w:t>
      </w:r>
      <w:r>
        <w:t>https://mcp.opencaselaw.ch/entscheid/bs_appellationsgericht_SB.2019.43</w:t>
      </w:r>
    </w:p>
    <w:p>
      <w:r>
        <w:t>FR: BS_APPELLATIONSGERICHT SB.2019.43 du 11 juin 2019</w:t>
      </w:r>
    </w:p>
    <w:p>
      <w:r>
        <w:t>IT: BS_APPELLATIONSGERICHT SB.2019.43 del 11 giugno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und die Staatsanwaltschaft sind gemäss Art. 381 und Art. 382 Abs. 1 StPO zur Erhebung von Rechtsmitteln legitimiert. Auf die rechtzeitig eingereichten Berufung und Anschlussberufung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Rechtskraft. Im vorliegenden Berufungsverfahren wird einzig die Anordnung einer stationären psychiatrischen Behandlung angefochten. Die übrigen Punkte sind in Rechtskraft erwachsen (siehe im Detail Urteilsdispositiv).</w:t>
      </w:r>
    </w:p>
    <w:p>
      <w:r>
        <w:rPr>
          <w:b/>
        </w:rPr>
        <w:t>E. 2</w:t>
      </w:r>
    </w:p>
    <w:p>
      <w:r>
        <w:t>2.1Nach Art. 56 Abs. 1 StGB ist eine Massnahme anzuordnen, wenn eine Strafe alleine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Art. 56 Abs. 2 StGB setzt für die Anordnung einer Massnahme sodann voraus, dass der mit ihr verbundene Eingriff in die Persönlichkeitsrechte des Täters im Hinblick auf die Wahrscheinlichkeit und Schwere weiterer Straftaten nicht unverhältnismässig ist. Zu prüfen ist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bzw. Therapiewilligkeit). Als Ausfluss des Grundsatzes der Verhältnismässigkeit ist schliesslich neben dem genannten Element der Geeignetheit auch die Notwendigkeit der Massnahme (im Sinne der Subsidiarität) und die Relation zwischen Eingriff und angestrebtem Ziel zu prüfen (vgl.Heer/Habermeyer, in: Basler Kommentar, 4. Auflage 2019, Art. 59 StGB N 6 ff.;Pauen Borer/Trechsel, in: Trechsel/Pieth [Hrsg.], Schweizerisches Strafgesetzbuch, Praxiskommentar, 3. Auflage, Zürich 2018, Art. 59 N 1 ff.; AGE SB.2016.35 vom 10. August 2018 E. 6.1, SB.2017.68 vom 22. Januar 2018 E. 6.3).</w:t>
      </w:r>
    </w:p>
    <w:p>
      <w:r>
        <w:t>2.2Der Berufungskläger bezeichnet das angefochtene Urteil als in weiten Teilen richtig. Gegen die Anordnung einer stationären Massnahme wendet er sich lediglich deshalb, weil er der Auffassung ist, dass er keine psychiatrische Behandlung benötigt. Er sei gesund und brauche keine Behandlung, erst recht keine stationäre Behandlung. Nach Meinung des Vertreters des Berufungsklägers sei eine stationäre Massnahme ohne Aussicht auf Erfolg und zum Scheitern verurteilt, weil sie gegen den Willen des Berufungsklägers unter stetigem Zwang ausgeführt werden müsste. Nachfolgend ist demnach nur noch auf die Fragen der Notwendigkeit und Geeignetheit der stationären psychiatrischen Behandlung einzugehen.</w:t>
      </w:r>
    </w:p>
    <w:p>
      <w:r>
        <w:t>2.3Zur Beantwortung dieser Fragen liegt das wissenschaftliche forensisch-psychiatrische Gutachten der Universitären Psychiatrischen Kliniken Basel vom 31. Oktober 2018 vor, welches durch Dr. med. B____ erstellt worden ist. Die Gutachterin ist überdies durch das Berufungsgericht als Sachverständige in der Verhandlung vom 11. Juni 2019 befragt worden. Dabei hat sie die Diagnose einer Schizophrenie, am wahrscheinlichsten einer hebephrenen Schizophrenie, bestätigt und ausgeführt, in der forensisch-psychiatrischen Station X____, in welcher sich der Berufungskläger derzeit aufhalte, habe man den gleichen Eindruck bekommen. Zur Frage der Notwendigkeit einer Behandlung hat Dr. med. B____ im Gutachten zwei Prognoseinstrumente (Violence Risk Appraisal Guide = VRAG sowie Kriterienkatalog für die Beurteilung des Rückfallrisikos besonders gefährlicher Straftäter nach Dittmann) berücksichtigt (Gutachten S. 49, Akten S. 62) und ist zum Schluss gelangt, im Falle einer Entlassung des Berufungsklägers ohne adäquate therapeutische Intervention bestünde bereits kurzfristig ein hohes Rückfallrisiko für ähnliche Aggressions- und Gewaltdelikte wie die Anlassdelikte, aber auch für noch schwerere, gewalttätigere Straftaten, sowohl gegenüber Dritten als auch Personen aus dem sozialen Nahraum (Gutachten S. 58, Akten S. 260). Mit seinem mehrfachen aggressiven Verhalten im Untersuchungsgefängnis Waaghof, insbesondere dem Vorfall vom 15. Juli 2018, hat der Berufungskläger eindrücklich aufgezeigt, dass ihn nicht einmal das Regime der Untersuchungshaft von der Ausübung von Gewalttätigkeiten hat abhalten können (vgl. für Einzelheiten die dem Berufungsgericht am 13. Mai 2019 eingereichten Rapporte des Untersuchungsgefängnisses Basel-Stadt). In der ärztlichen Stellungnahme der forensisch-psychiatrischen Station X____ vom 11. Juni 2019 wird ebenfalls aggressives Verhalten des Berufungsklägers geschildert, welches eine Unterbringung im sicheren Zimmer und die Anpassung der Medikation erforderte. Die Stellungnahme schliesst mit dem Hinweis darauf, dass eine weiterführende antipsychotische Anpassung der Medikation dringend indiziert sei und der Berufungskläger wenn möglich noch am selben Tag [gemeint ist der Tag der Verhandlung des Berufungsgerichts in Sachen des Berufungsklägers] auf die forensisch-psychiatrischen Station X____ zurückgeführt werden solle. Eine anschliessende Behandlung in einem Hochsicherheitstrakt (wie z.B. auf der Forensischen Station der Psychiatrischen Klinik Rheinau, Zürich) sei bei dieser schweren Erkrankung bei fehlender Krankheitseinsicht und ungenügender Behandlungseinsicht und -motivation mit aggressivem Verhalten zu empfehlen. Anlässlich der Berufungsverhandlung hat auch Dr. med. B____ ihre gutachterliche Einschätzung, wonach ohne adäquate Behandlung mit weiteren Gewalttaten des Berufungsklägers zu rechnen sei, klar bestätigt. Der Verteidiger des Berufungsklägers hat diese Beurteilung und diejenige der forensisch-psychiatrischen Station  X____ nicht bestritten, sondern einzig darauf hingewiesen, dass sein Mandant der Meinung sei, dass er keine psychiatrische Behandlung benötige. Nach dem Gesagten kann jedoch an der Behandlungsbedürftigkeit des Berufungsklägers nicht gezweifelt werden.</w:t>
      </w:r>
    </w:p>
    <w:p>
      <w:r>
        <w:t>2.4In Bezug auf die Geeignetheit der Massnahme hat die Gutachterin in ihrer Expertise ausgeführt, dass sich die Erkrankung des Berufungsklägers medikamentös und therapeutisch gut behandeln lasse und es mehrere Einrichtungen gebe, in denen eine Behandlung stattfinden könnte (Gutachten S. 60, Akten S. 262). Fehlende Krankheits- und Behandlungseinsicht sei beim Störungsbild des Berufungsklägers zunächst nicht untypisch (Gutachten S. 59, Akten S. 261). Anlässlich der Verhandlung des Berufungsgerichts hat sie erklärt, für die Behandlungsprognose sei positiv, dass der Berufungskläger auf die seit Mai 2019 in der forensisch-psychiatrischen Station X____ erhaltene Behandlung offenbar ein Stück weit angesprochen habe. Dies sei ein gutes Zeichen. Die medikamentöse Behandlung des Berufungsklägers sei in eine Milieutherapie einzubetten. Sobald die akute Symptomatik sich bessere, gehe es darum, den Umgang mit Konflikten zu erlernen und Alltagskompetenzen wieder zu erwerben. Der Berufungskläger müsse lernen, mit seiner Erkrankung zu leben. Es handle sich um ein Gesamtkonzept, das bei einem so schweren Krankheitsbild, wie es beim Berufungskläger vorhanden sei, nur stationär durchführbar sei. In einer ersten Phase wäre eine Unterbringung in einer geschlossenen Klinik, welche über einen Sicherheitstrakt verfügt, sinnvoll, bevor stufenweise Lockerungen stattfinden könnten (Verhandlungsprotokoll S. 6). Diese Ausführungen der Sachverständigen erscheinen schlüssig und vermögen in jeder Hinsicht zu überzeugen. Dass der Berufungskläger nach wie vor der Meinung ist, er sei gesund, und ihm jegliche Behandlungsmotivation fehlt, ist Teil seiner Krankheit und stellt kein Hindernis für die Anordnung einer stationären Massnahme dar.</w:t>
      </w:r>
    </w:p>
    <w:p>
      <w:r>
        <w:t>2.5Mit ihrer Anschlussberufung möchte die Staatsanwaltschaft die Anordnung einer stationären Massnahme nach Art. 59 Abs. 3 StGB in einer geschlossenen psychiatrischen Anstalt erreichen, bis dass beim Berufungskläger die Motivation zur Behandlung erarbeitet werden könne. Nach der Rechtsprechung des Bundesgerichts ist dies jedoch eine Vollzugsfrage, die grundsätzlich von den Vollzugsbehörden zu beurteilen ist. Das Bundesgericht hat diesbezüglich deutlich Stellung genommen und ausgeführt, die Auffassung, es handle sich um eine eigenständige stationäre therapeutische Massnahme, finde weder im Wortlaut noch im Sinn und Zweck des Gesetzes oder in den Gesetzesmaterialien eine Grundlage. Das Bundesgericht hat es dennoch als sinnvoll erachtet, dass sich das Sachgericht in seinen Urteilserwägungen  nicht jedoch im Urteilsdispositiv  zu der Notwendigkeit eines geschlossenen Massnahmevollzugs äussert und den Vollzugsbehörden eine geschlossene Unterbringung des Betroffenen unverbindlich empfiehlt, wenn es die Voraussetzungen von Art. 59 Abs. 3 StGB im Urteilszeitpunkt als erfüllt erachtet (BGE 142 IV 1 E. 2.5 S. 10 f.) Im vorliegenden Fall kann Letzteres nicht zweifelhaft sein. Die Sachverständige ist der Meinung, dass die Massnahme in einer ersten Phase in einer geschlossenen Klinik, welche über einen Sicherheitstrakt verfügt, durchgeführt werden sollte. Auch die forensisch-psychiatrische Station X____ spricht von einem Hochsicherheitstrakt, der zu empfehlen sei (vgl. oben Ziff. 2.3).</w:t>
      </w:r>
    </w:p>
    <w:p>
      <w:r>
        <w:t>2.6Der Berufungskläger hat die Verhältnismässigkeit der Massnahme nicht bestritten. Angesichts des von ihm ausgehenden Gefahrenpotenzials ist es denn auch nicht zu beanstanden, wenn die Vorinstanz das Schutzbedürfnis der Öffentlichkeit als so gross eingestuft hat, dass es das Interesse des Berufungsklägers an einem Verzicht auf eine freiheitsentziehende Massnahme überwiegt.</w:t>
      </w:r>
    </w:p>
    <w:p>
      <w:r>
        <w:t>2.7Zusammenfassend ist festzuhalten, dass ein ambulantes Setting ganz offensichtlich nicht genügt, um der vom Berufungskläger ausgehenden hohen Gefahr weiterer Gewaltstraftaten effektiv zu begegnen. Es ist daher eine stationäre therapeutische Massnahme im Sinne von Art. 59 Abs. 1 StGB anzuordnen, wobei der Vollzugsbehörde zu empfehlen ist, eine Vollzugsanstalt zu wählen, die über einen Sicherheitstrakt verfügt, und den Berufungskläger in einer ersten Phase darin unterzubringen.</w:t>
      </w:r>
    </w:p>
    <w:p>
      <w:r>
        <w:rPr>
          <w:b/>
        </w:rPr>
        <w:t>E. 3</w:t>
      </w:r>
    </w:p>
    <w:p>
      <w:r>
        <w:t>Auflage, Zürich 2018, Art. 419 N 1; BGer 6B_505/2014 vom 17. Februar 2015 E. 2.1 und 4.2; AGE SB.2017.68 vom 22. Januar 2018 E. 8, SB.2018.109 vom 25. Juli 2019 E. 5.1). Vorliegend bestehen an der prekären finanziellen Situation des Berufungsklägers keinerlei Zweifel, sodass von einer  auch nur teilweisen  Auferlegung der Kosten für das erst- und das zweitinstanzliche Verfahren abzusehen ist.</w:t>
      </w:r>
    </w:p>
    <w:p>
      <w:r>
        <w:t>3.2Dem amtlichen Verteidiger ist ein Aufwand gemäss der durch ihn eingereichten Honorarnote zu vergüten, wobei für die Verhandlung des Berufungsgerichts drei weitere Stunden zu berücksichtigen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