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SB.2019.30 vom 14. September 2020</w:t>
      </w:r>
    </w:p>
    <w:p>
      <w:r>
        <w:t>BS Appellationsgericht, 2020-09-14, DE</w:t>
      </w:r>
    </w:p>
    <w:p>
      <w:r>
        <w:rPr>
          <w:b/>
        </w:rPr>
        <w:t xml:space="preserve">Quelle: </w:t>
      </w:r>
      <w:r>
        <w:t>https://mcp.opencaselaw.ch/entscheid/bs_appellationsgericht_SB.2019.30</w:t>
      </w:r>
    </w:p>
    <w:p>
      <w:r>
        <w:t>FR: BS_APPELLATIONSGERICHT SB.2019.30 du 14 septembre 2020</w:t>
      </w:r>
    </w:p>
    <w:p>
      <w:r>
        <w:t>IT: BS_APPELLATIONSGERICHT SB.2019.30 del 14 settembre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funktionale Zuständigkeit innerhalb des Gerichts liegt gemäss § 43 Abs. 3 des Gerichtsorganisationsreglements (GOG, SG 154.100) beim Einzelgericht (statt vieler: AGE SB.2014.96 vom 15. Januar 2019).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Dies ist dann der Fall, wenn der Betroffene mittellos ist oder die Höhe der Kosten zusammen mit seinen übrigen Schulden seine Resozialisierung beziehungsweise sein finanzielles Weiterkommen ernsthaft gefährden kann (Domeisen,in: Basler Kommentar, 2. Auflage 2014, Art. 425 StPO N 4).</w:t>
      </w:r>
    </w:p>
    <w:p>
      <w:r>
        <w:t>2.2Vorliegend ergibt sich aus den eingereichten Unterlagen, dass der Berufungskläger mit seiner Tätigkeit bei insgesamt drei Firmen über ein Einkommen von rund CHF 2'100.- netto im Monat verfügt, wobei ein Einkommen seiner Ehefrau von CHF 600. pro Monat hinzukommt. Ebenfalls aus den Unterlagen zu ersehen ist, dass sein Antrag auf Arbeitslosenentschädigung abgewiesen wurde. Von dem Einkommen des Gesuchstellers und seiner Ehefrau, insgesamt CHF 2'700. netto, wird der Lebensunterhalt der Ehegatten sowie zweier sich noch in Ausbildung befindender Töchter bestritten.</w:t>
      </w:r>
    </w:p>
    <w:p>
      <w:r>
        <w:t>2.3Es ist offensichtlich, dass der Gesuchsteller damit in angespannten wirtschaftlichen Verhältnissen lebt, welche es ihm nicht erlauben, die Gerichtskosten resp. auch nur einen Teil davon zu bezahlen. Es erscheint damit gerechtfertigt, ihm diese zu erlassen, um sein finanzielles Fortkommen nicht zu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