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SB.2019.22 vom 5. Januar 2021</w:t>
      </w:r>
    </w:p>
    <w:p>
      <w:r>
        <w:t>BS Appellationsgericht, 2021-01-05, DE</w:t>
      </w:r>
    </w:p>
    <w:p>
      <w:r>
        <w:rPr>
          <w:b/>
        </w:rPr>
        <w:t xml:space="preserve">Quelle: </w:t>
      </w:r>
      <w:r>
        <w:t>https://mcp.opencaselaw.ch/entscheid/bs_appellationsgericht_SB.2019.22</w:t>
      </w:r>
    </w:p>
    <w:p>
      <w:r>
        <w:t>FR: BS_APPELLATIONSGERICHT SB.2019.22 du 5 janvier 2021</w:t>
      </w:r>
    </w:p>
    <w:p>
      <w:r>
        <w:t>IT: BS_APPELLATIONSGERICHT SB.2019.22 del 5 gennaio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BES.2019.253 vom 22. Juni 2020 E. 1). Das Berufungsurteil vom 3. Dezember 2019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 finanzielles Weiterkommen ernsthaft gefährden kann (Domeisen, a.a.O., Art. 425 StPO N 4).</w:t>
      </w:r>
    </w:p>
    <w:p>
      <w:r>
        <w:t>2.2Wie der eingereichten Zusammenstellung des Amts für Beistandschaften und Erwachsenenschutz (ABES) entnommen werden kann, verbleibt dem eine bescheidene AHV-Rente und deshalb Ergänzungsleistungen beziehenden Gesuchsteller Ende des Monats ein Überschuss von CHF 201.50, von dem etwa Kleider oder Ferien finanziert werden müssen. Der knapp [...]-jährige Gesuchsteller muss daher als mittellos bezeichnet werden. Unter diesen Umständen erscheint nur schon eine teilweise Kostenauflage als unbillig. Es rechtfertigt sich daher, A____ die gesamten Verfahrenskosten zu erlassen.</w:t>
      </w:r>
    </w:p>
    <w:p>
      <w:r>
        <w:rPr>
          <w:b/>
        </w:rPr>
        <w:t>E. 3</w:t>
      </w:r>
    </w:p>
    <w:p>
      <w:r>
        <w:t>Nach dem Gesagten ist das 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