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SB.2019.112 vom 14. Juli 2021</w:t>
      </w:r>
    </w:p>
    <w:p>
      <w:r>
        <w:t>BS Appellationsgericht, 2021-07-14, DE</w:t>
      </w:r>
    </w:p>
    <w:p>
      <w:r>
        <w:rPr>
          <w:b/>
        </w:rPr>
        <w:t xml:space="preserve">Quelle: </w:t>
      </w:r>
      <w:r>
        <w:t>https://mcp.opencaselaw.ch/entscheid/bs_appellationsgericht_SB.2019.112</w:t>
      </w:r>
    </w:p>
    <w:p>
      <w:r>
        <w:t>FR: BS_APPELLATIONSGERICHT SB.2019.112 du 14 juillet 2021</w:t>
      </w:r>
    </w:p>
    <w:p>
      <w:r>
        <w:t>IT: BS_APPELLATIONSGERICHT SB.2019.112 del 14 luglio 2021</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BES.2019.253 vom 22. Juni 2020 E. 1). Das Berufungsurteil vom 29. Juni 2020 wurde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 finanzielles Weiterkommen ernsthaft gefährden kann (Domeisen, a.a.O., Art. 425 StPO N 4).</w:t>
      </w:r>
    </w:p>
    <w:p>
      <w:r>
        <w:t>2.2Wie sich aus den im Erlassverfahren eingereichten Unterlagen ergibt, wird die Gesuchstellerin aktuell von der Sozialhilfe wirtschaftlich unterstützt. Aus der Abrechnung vom 29. Juni 2021 erhellt, dass A____ ihren Lebensunterhalt gegenwärtig mit von der Sozialhilfe ausbezahlten CHF 1'605. bestreiten muss, wovon nur schon Mietkosten in Höhe von CHF 1'400. abgehen. Darüber hinaus weist der Saldo ihres [...]-Kontos per 12. Juli 2021 einen negativen Saldo auf und ergibt sich aus den Steuerunterlagen, dass sie neben fehlendem Einkommen auch kein Vermögen besitzt. Unter diesen Umständen erscheint eine Kostenauflage im Sinne des vorstehend Ausgeführten als unbillig, zumal die Gesuchstellerin einen Teil der offenen Forderung (CHF 300.) bereits beglichen hat. Um ihr finanzielles Fortkommen nicht zu gefährden, erscheint es gerechtfertigt, ihr die noch ausstehenden CHF 1305.30 (von den bezahlten CHF 300. sind CHF 200. für die Busse bestimmt; die restlichen CHF 100. sind an die Verfahrenskosten anzurechnen) der mit Urteil des Appellationsgerichts Basel-Stadt vom 29. Juni 2020 auferlegten Verfahrenskosten sowie auch die Mahngebühren in Höhe von CHF 40. zu erlassen.</w:t>
      </w:r>
    </w:p>
    <w:p>
      <w:r>
        <w:rPr>
          <w:b/>
        </w:rPr>
        <w:t>E. 3</w:t>
      </w:r>
    </w:p>
    <w:p>
      <w:r>
        <w:t>Nach dem Gesagten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