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SB.2018.52 vom 12. Oktober 2023</w:t>
      </w:r>
    </w:p>
    <w:p>
      <w:r>
        <w:t>BS Appellationsgericht, 2023-10-12, DE</w:t>
      </w:r>
    </w:p>
    <w:p>
      <w:r>
        <w:rPr>
          <w:b/>
        </w:rPr>
        <w:t xml:space="preserve">Quelle: </w:t>
      </w:r>
      <w:r>
        <w:t>https://mcp.opencaselaw.ch/entscheid/bs_appellationsgericht_SB.2018.52</w:t>
      </w:r>
    </w:p>
    <w:p>
      <w:r>
        <w:t>FR: BS_APPELLATIONSGERICHT SB.2018.52 du 12 octobre 2023</w:t>
      </w:r>
    </w:p>
    <w:p>
      <w:r>
        <w:t>IT: BS_APPELLATIONSGERICHT SB.2018.52 del 12 ottobre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SB.2017.64 vom 25. Januar 2019 E. 2.1). Mit der Konzipierung von Art. 425 StPO als Kann-Bestimmung bleibt der zuständigen Strafbehörde ein grosser Ermessens- und Beurteilungsspielraum (BGer 6B_1184/2019 vom 25. Juni 2020 E. 1.1, 6B_886/2019 vom 25. September 2019 E. 2).</w:t>
      </w:r>
    </w:p>
    <w:p>
      <w:r>
        <w:t>2.2Aus den eingegangenen Unterlagen ergibt sich, dass der Gesuchsteller seit Mai 2023 Anspruch auf Arbeitslosengelder bei einem Vermittlungsgrad von 100 % hat (gemäss seinen Ausführungen Ende März 2023 konnte er damals nur 50 % arbeiten), wobei die Taggeldhöhe CHF 92.15 beträgt und die Rahmenfrist bis 14. Mai 2025 läuft. Im Juni und Juli 2023 hat A____ Arbeitslosengelder in Höhe von CHF 1'869.40 bzw. 1'784.45 bezogen. Die monatlichen Mietkosten betragen CHF 600. (inklusive Nebenkosten), die Prämie der Krankenversicherung monatlich rund CHF 120. (mit Prämienverbilligung). Die finanziellen Verhältnisse des Gesuchstellers sind damit aktuell zwar gewiss nicht komfortabel, zumal auch kein wesentliches Vermögen vorhanden ist (der Saldo auf dem Konto der [...] beträgt rund CHF 2'000.). Dennoch verbleibt ihm monatlich (nach Abzug der weiteren Kosten) ein nicht mehr als geringfügig zu bezeichnender Betrag zur freien Verfügung, wobei erwartet werden darf, dass sich die wirtschaftliche Situation des Gesuchstellers angesichts des Vermittlungsgrades von 100 % vor Ablauf der Rahmenfrist noch verbessern dürfte. Die von A____ vorgeschlagene Ratenzahlung von monatlich CHF 50. erscheint vor diesem Hintergrund deutlich zu tief, zumal eine Abzahlung der gesamten Kosten diesfalls fast 42 Jahre dauern würde. Angemessen erscheint nach dem Gesagten vielmehr eine monatliche Rate von CHF 350.. Bezahlt der Gesuchsteller die Raten während zwei Jahren pünktlich, wird ihm der Restbetrag der Verfahrenskosten von CHF 16'742.80 dannzumal erlassen. Wenn A____ die diskutierten Ratenzahlungen korrekt leistet, wird er insgesamt CHF 8400. an die Kosten des Verfahrens bezahlt haben, was immerhin gut 1/3 der gesamten Verfahrenskosten entspricht und seinen Verhältnissen angemessen erscheint. Die Raten sind jeweils am ersten Tag des Monats fällig, erstmals zahlbar per 1. Januar 2024. Der Gesuchsteller ist darauf hinzuweisen, dass bei Ausbleiben auch nur einer Ratenzahlung der gesamte Betrag der Verfahrenskosten sofort fällig und verzinslich ist.</w:t>
      </w:r>
    </w:p>
    <w:p>
      <w:r>
        <w:rPr>
          <w:b/>
        </w:rPr>
        <w:t>E. 3</w:t>
      </w:r>
    </w:p>
    <w:p>
      <w:r>
        <w:t>Das Erlassgesuch ist demgemäss teilweise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