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SB.2018.50 vom 15. April 2024</w:t>
      </w:r>
    </w:p>
    <w:p>
      <w:r>
        <w:t>BS Appellationsgericht, 2024-04-15, DE</w:t>
      </w:r>
    </w:p>
    <w:p>
      <w:r>
        <w:rPr>
          <w:b/>
        </w:rPr>
        <w:t xml:space="preserve">Quelle: </w:t>
      </w:r>
      <w:r>
        <w:t>https://mcp.opencaselaw.ch/entscheid/bs_appellationsgericht_SB.2018.50</w:t>
      </w:r>
    </w:p>
    <w:p>
      <w:r>
        <w:t>FR: BS_APPELLATIONSGERICHT SB.2018.50 du 15 avril 2024</w:t>
      </w:r>
    </w:p>
    <w:p>
      <w:r>
        <w:t>IT: BS_APPELLATIONSGERICHT SB.2018.50 del 15 aprile 2024</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SB.2018.45 vom 7. Dezember 2023 E. 1). Das Berufungs­urteil wurde durch das Appellationsgericht erlassen, weshalb zur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2020, Art. 425 N 1a;Domeisen, in: Basler Kommentar, 3. Auflage 2023, Art. 425 StPO N 4; AGE SB.2018.45 vom 7. Dezember 2023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(AGE SB.2012.7/SB.2012.17 vom 1. Dezember 2023 E. 2.1). Mit der Konzipierung von Art. 425 StPO als Kann-Bestimmung bleibt der zuständigen Strafbehörde ein grosser Ermessens- und Beurteilungsspielraum (BGer 6B_1184/2019 vom 25. Juni 2020 E. 1.1, 6B_886/2019 vom 25. September 2019 E. 2).</w:t>
      </w:r>
    </w:p>
    <w:p>
      <w:r>
        <w:t>2.2Der Gesuchsteller konnte im Zusammenhang mit dem vorliegenden Verfahren bis zum 6. Dezember 2022 einen Betrag von total CHF 865. abbezahlen, welcher der Busse von CHF 1'000. angerechnet wird. Seit dem 28. November 2022 befindet er sich im Strafvollzug. Damit konnte er kein reguläres Einkommen mehr erzielen. Seine finanzielle Situation ist prekär. Zurzeit verfügt er lediglich über ein bescheidenes Pekulium (Art. 83 Strafgesetzbuch [StGB, SR 311.0]), welches zum einen nur teilweise frei verfügbar ist und zum anderen auch nicht gepfändet werden darf (vgl. AGE SB.2021.47 vom 10. November 2023 E. 2.2), wobei er aus dem sog. Wiedergutmachungskonto monatlich immerhin CHF 20. leistet. Er ist mit verschiedenen weiteren Forderungen belastet. So ist er etwa mit Urteil des Appellationsgerichts SB.2018.50 vom 11. Juni 2021 mit Genugtuungsforderung in Höhe von CHF 8'000. belastet und hat er im Strafverfahren SG.2020.302 eine Busse von CHF 1'100. sowie Kosten in Höhe von CHF 11'056.  zu bezahlen. Als Vater eines Kindes ist er zudem unterhaltspflichtig. Zu berücksichtigen ist weiter, dass im Falle der wirtschaftlichen Besserstellung des Gesuchstellers auch noch der Rückforderungsvorbehalt bezüglich der Entschädigung der anwaltlichen Vertretung der Privatklägerin im vorliegenden Verfahren und der amtlichen Verteidigung im Verfahren SG.2020.302 aktiviert würden. Nach der Entlassung aus dem Strafvollzug wird er gemäss Urteil des Appellationsgerichts SB.2018.50 vom 11. Juni 2021 sowie Urteil des Strafgerichts SG.2020.302 vom 22. April 2021 jeweils für 5 Jahre des Landes verwiesen. Angesichts der vorliegenden Gesamtumstände erscheint es mithin angezeigt, dem Gesuchsteller die offenen Kosten des Verfahrens in Höhe von CHF 16'528.10 (inkl. Mahngebühren) zu erlassen.</w:t>
      </w:r>
    </w:p>
    <w:p>
      <w:r>
        <w:rPr>
          <w:b/>
        </w:rPr>
        <w:t>E. 3</w:t>
      </w:r>
    </w:p>
    <w:p>
      <w:r>
        <w:t>Das Erlassgesuch ist demgemäss gutzuheissen. Es werden keine Kosten erhoben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