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SB.2018.131 vom 9. Februar 2023</w:t>
      </w:r>
    </w:p>
    <w:p>
      <w:r>
        <w:t>BS Appellationsgericht, 2023-02-09, DE</w:t>
      </w:r>
    </w:p>
    <w:p>
      <w:r>
        <w:rPr>
          <w:b/>
        </w:rPr>
        <w:t xml:space="preserve">Quelle: </w:t>
      </w:r>
      <w:r>
        <w:t>https://mcp.opencaselaw.ch/entscheid/bs_appellationsgericht_SB.2018.131</w:t>
      </w:r>
    </w:p>
    <w:p>
      <w:r>
        <w:t>FR: BS_APPELLATIONSGERICHT SB.2018.131 du 9 février 2023</w:t>
      </w:r>
    </w:p>
    <w:p>
      <w:r>
        <w:t>IT: BS_APPELLATIONSGERICHT SB.2018.131 del 9 febbraio 2023</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Verfahrenskosten im Sinne von Art. 425 StPO sind die Kosten des Strafverfahrens und die Gerichtsgebühren, nicht jedoch Geldstrafen oder Bussen.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(vgl. dazuDomeisen, in: Basler Kommentar, 2. Auflage 2014, Art. 425 StPO N 2), keinen Gebrauch gemacht hat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SB.2019.112 vom 14. Juli 2021 E. 1). Das Berufungsurteil vom 13. Dezember 2019 wurde durch das Appellationsgericht erlassen, weshalb zur Behandlung des Kostenerlassgesuchs dessen Instruktionsrichter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(vgl. dazuGriesser, in: Donatsch et al. [Hrsg.], Kommentar zur Schweizerischen Strafprozessordnung, 3. Auflage, Zürich 2020, Art. 425 N 1a;Domeisen, a.a.O., Art. 425 StPO N 4; vgl. statt vieler AGE SB.2017.15 vom 27. Mai 2020 E. 2.1).</w:t>
      </w:r>
    </w:p>
    <w:p>
      <w:r>
        <w:t>2.2Der Gesuchsteller bezieht  wie sich aus den eingereichten Unterlagen bzw. den aktenkundigen Schreiben der [...] ergibt  seit mehreren Jahren Arbeitslosengeld II bzw. seit dem 1. Januar 2023 Bürgergeld. Der monatliche Gesamtbetrag beträgt seit dem 1. Januar 2023 EUR 1'007., wobei EUR 505. für Miete, Heiz- und Nebenkosten abzuziehen sind bzw. «bloss» ein Grundbedarf von EUR 502. ausbezahlt wird. Es besteht weder pfänderbares Einkommen noch Vermögen. Trotz Einschaltens einer Schuldnerberatung ist eine Schuldenbereinigung bisher erfolglos geblieben. A____ muss nach dem Gesagten als mittellos bezeichnet werden. Unter diesen Umständen erscheint eine Kostenauflage im Sinne des vorstehend Ausgeführten als unbillig, zumal sich an seiner finanziellen Situation angesichts der bereits einige Jahre andauernden Arbeitslosigkeit kurz- bis mittelfristig kaum etwas ändern dürfte. Kommt dazu, dass im Falle seiner wirtschaftlichen Besserstellung auch noch der Rückforderungsvorbehalt bezüglich der Entschädigung seiner amtlichen Verteidigung von CHF 4616.85 aktiviert würde. Vor diesem Hintergrund kann dem Gesuchsteller auch eine Ratenzahlung nicht zugemutet werden. Es rechtfertigt sich deshalb, ihm die gesamten Verfahrenskosten (inklusive der Mahngebühr) zu erlassen.</w:t>
      </w:r>
    </w:p>
    <w:p>
      <w:r>
        <w:rPr>
          <w:b/>
        </w:rPr>
        <w:t>E. 3</w:t>
      </w:r>
    </w:p>
    <w:p>
      <w:r>
        <w:t>Das Erlassgesuch ist demgemäss gutzuheissen. Auf die Erhebung einer Gerichtsgebühr ist zu verzichten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