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SB.2018.105 vom 9. Januar 2024</w:t>
      </w:r>
    </w:p>
    <w:p>
      <w:r>
        <w:t>BS Appellationsgericht, 2024-01-09, DE</w:t>
      </w:r>
    </w:p>
    <w:p>
      <w:r>
        <w:rPr>
          <w:b/>
        </w:rPr>
        <w:t xml:space="preserve">Quelle: </w:t>
      </w:r>
      <w:r>
        <w:t>https://mcp.opencaselaw.ch/entscheid/bs_appellationsgericht_SB.2018.105</w:t>
      </w:r>
    </w:p>
    <w:p>
      <w:r>
        <w:t>FR: BS_APPELLATIONSGERICHT SB.2018.105 du 9 janvier 2024</w:t>
      </w:r>
    </w:p>
    <w:p>
      <w:r>
        <w:t>IT: BS_APPELLATIONSGERICHT SB.2018.105 del 9 gennaio 2024</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Im Kanton Basel-Stadt sind Gesuche um Erlass der Verfahrenskosten von dem Gericht zu entscheiden, welches als letzte kantonale Instanz die Tragung der Verfahrenskosten festgelegt hat.</w:t>
      </w:r>
    </w:p>
    <w:p>
      <w:r>
        <w:t>Die funktionelle Zuständigkeit innerhalb des Gerichts liegt gemäss § 43 Abs. 3 des Gerichtsorganisationsgesetzes (GOG, SG 154.100) an sich beim Einzelgericht (statt vieler: AGE SB.2018.13 vom 10. September 2021 E. 1). Das vorliegende Erlassgesuch bezieht sich auf sechs Berufungs- Haftbeschwerde- und Beschwerdeverfahren am Appellationsgericht Basel-Stadt, welche von den Präsidien Henz (SB.2018.105, BES.2020.200), Hoenen (BES.2020.214, HB.2018.32, SB.2015.74) und Matefi (BES.2020.118) geführt worden waren. Aus Gründen der Verfahrensökonomie werden die gestellten Gesuche durch ein Dreiergericht, bestehend aus den betroffenen Appellationsgerichtspräsidien Henz und Hoenen sowie Präsidentin Schmid (in Vertretung von Präsidentin Matefi), behandelt.</w:t>
      </w:r>
    </w:p>
    <w:p>
      <w:r>
        <w:rPr>
          <w:b/>
        </w:rPr>
        <w:t>E. 2</w:t>
      </w:r>
    </w:p>
    <w:p>
      <w:r>
        <w:t>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2020, Art. 425 N 1a;Domeisen, in: Basler Kommentar, 3. Auflage 2023, Art. 425 StPO N 4;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deutlich weniger weit geht eine Ratenzahlung (AGE SB.2017.73 vom 24. März 2021 E. 2.1, SB.2014.28 vom 28. August 2019 E. 2.1). Mit der Konzipierung von Art. 425 StPO als Kann-Bestimmung bleibt der zuständigen Strafbehörde ein grosser Ermessens- und Beurteilungsspielraum (BGer 6B_1184/2019 vom 25. Juni 2020 E. 1.1, 6B_886/2019 vom 25. September 2019 E. 2).</w:t>
      </w:r>
    </w:p>
    <w:p>
      <w:r>
        <w:rPr>
          <w:b/>
        </w:rPr>
        <w:t>E. 3</w:t>
      </w:r>
    </w:p>
    <w:p>
      <w:r>
        <w:t>Der Gesuchsteller hatte in den vom Gesuch umfassten Verfahren bereits Ratenzahlung während eines Jahres vereinbart, und er ist dieser am 5. Juli 2022 eingegangenen Verpflichtung gemäss Auskunft der Inkassostelle vom 9. Oktober 2023 mit zwölf monatlichen Zahlungen von CHF 120.‒ (CHF 20.‒ pro Verfahren) nachgekommen. Er hat belegt, dass er nach wie vor von der Sozialhilfe unterstützt wird, und es besteht kein Grund zur Annahme, dass sich an diesem Zustand in absehbarer Zeit etwas ändern wird. Einer langfristigen beruflichen Integration und damit einhergehend einer nachhaltigen Verbesserung seiner finanziellen Situation steht zudem entgegen, dass mit Urteil des Appellationsgerichts vom 26. März 2019 eine fünfjährige Landesverweisung ausgesprochen wurde, deren Vollzug noch aussteht.</w:t>
      </w:r>
    </w:p>
    <w:p>
      <w:r>
        <w:t>Da der Gesuchsteller mit den geleisteten Ratenzahlungen seinen guten Willen zur Reduktion seiner Schulden unter Beweis gestellt hat, für ihn selbst bescheidene Ratenzahlungen eine beträchtliche finanzielle Belastung darstellen und der ausstehende Gesamtbetrag von CHF 53433.18 mit dem bisherigen Abzahlungsmodus erst in 37 Jahren abgetragen wäre, ist ihm der vollständige Kostenerlass in sämtlichen das Gesuch umfassenden Verfahren zu gewähren.</w:t>
      </w:r>
    </w:p>
    <w:p>
      <w:r>
        <w:rPr>
          <w:b/>
        </w:rPr>
        <w:t>E. 4</w:t>
      </w:r>
    </w:p>
    <w:p>
      <w:r>
        <w:t>Nicht einzutreten ist auf das Gesuch um Ratenzahlung betreffend nicht näher spezifizierte weitere Forderungen des Appellationsgerichts. Entsprechende Gesuche sind an die Verfahrensleitungen der jeweiligen Verfahren unter genauer Bezeichnung derselben zu 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