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SB.2017.99 vom 2. Dezember 2022</w:t>
      </w:r>
    </w:p>
    <w:p>
      <w:r>
        <w:t>BS Appellationsgericht, 2022-12-02, DE</w:t>
      </w:r>
    </w:p>
    <w:p>
      <w:r>
        <w:rPr>
          <w:b/>
        </w:rPr>
        <w:t xml:space="preserve">Quelle: </w:t>
      </w:r>
      <w:r>
        <w:t>https://mcp.opencaselaw.ch/entscheid/bs_appellationsgericht_SB.2017.99</w:t>
      </w:r>
    </w:p>
    <w:p>
      <w:r>
        <w:t>FR: BS_APPELLATIONSGERICHT SB.2017.99 du 2 décembre 2022</w:t>
      </w:r>
    </w:p>
    <w:p>
      <w:r>
        <w:t>IT: BS_APPELLATIONSGERICHT SB.2017.99 del 2 dicembre 2022</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zur Behandlung von solchen (nachträglichen) Gesuchen ist das Gericht, welches als letzte kantonale Instanz die Tragung der Verfahrenskosten festgelegt hat. Die funktionelle Zuständigkeit innerhalb des Gerichts liegt gemäss § 43 Abs. 3 des Gerichtsorganisationsgesetzes (GOG, SG 154.100) beim Einzelgericht (statt vieler: AGE SB.2020.44 vom 25. Mai 2022 E. 1). Das Berufungsurteil vom 6. Januar 2021 wurde durch das Appellationsgericht erlassen, weshalb zur Behandlung des Kostenerlassgesuchs dessen Instruktionsrichter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Zürich 2020, Art. 425 N 1a;Domeisen, a.a.O., Art. 425 StPO N 4; vgl. statt vieler AGE SB.2020.44 vom 25. Mai 2022 E. 2.1). Zu bedenken ist in diesem Zusammenhang immer, dass der definitive Erlass von Gerichtskosten eine weitreichende Wirkung aufweist. So können einmal erlassene Verfahrenskosten selbst dann nicht mehr geltend gemacht werden, wenn sich die finanziellen Verhältnisse des Schuldners in der Folgezeit verbessern. Die Gewährung des Kostenerlasses ist deshalb mit Zurückhaltung vorzunehmen (AGE SB.2020.44 vom 25. Mai 2022 E. 2.1, SB.2017.73 vom 24. März 2021 E. 2.1, SB.2014.28 vom 28. August 2019 E. 2.1, SB.2017.64 vom 25. Januar 2019 E. 2.1 mit Hinweisen). Weniger weit geht demgegenüber eine Ratenzahlung. Mit der Konzipierung von Art. 425 StPO als Kann-Bestimmung bleibt der zuständigen Strafbehörde ein grosser Ermessensspielraum (Griesser, a.a.O., Art. 425 N 1a).</w:t>
      </w:r>
    </w:p>
    <w:p>
      <w:r>
        <w:t>2.2Der in Deutschland lebende Gesuchsteller ist seit Jahren von der Sozialhilfe abhängig und lebt in sehr beengten wirtschaftlichen Verhältnissen. Es wurden ihm daher im Juni 2019 auf sein Gesuch hin Ratenzahlungen von CHF 20. monatlich bewilligt. Auf diesem Weg hat er inzwischen von seiner Schuld insgesamt CHF 740. abbezahlt, so dass sich diese auf CHF 573.60 reduziert hat. Da geleistete Zahlungen primär an die Busse anzurechnen sind, ist die Busse dadurch bereits beglichen und sind nunmehr nur noch Verfahrenskosten offen. Mit den am 7. November 2022 beim Appellationsgericht eingegangenen Beilagen zu seinem Ratenzahlungsgesuch hat der Gesuchsteller nachgewiesen, dass sich die Miete für seine Wohnung per Januar 2020 von EUR 495.78 auf EUR 558.30 erhöht hat und sich per 1. Januar 2023 weiter auf EUR 605.34 erhöhen wird. Von der Deutschen Rentenversicherung wird ihm monatlich EUR 824.92 ausbezahlt.</w:t>
      </w:r>
    </w:p>
    <w:p>
      <w:r>
        <w:t>2.3Es ist somit nachgewiesen, dass der Gesuchsteller mittellos ist. Seine finanzielle Lage hat sich seit Beginn der Ratenzahlungen im Jahr 2019 noch verschärft. Es ist zudem davon auszugehen, dass sich die wirtschaftlichen Verhältnisse des mittlerweile 71-jährigen Gesuchstellers in naher Zukunft nicht wesentlich verbessern werden. Mit der jahrelangen Leistung von Ratenzahlungen hat er seinen guten Willen im Hinblick auf die Begleichung seiner Schuld bewiesen. Es rechtfertigt sich daher, ihm die Restschuld von CHF 573.60 zu erlassen.</w:t>
      </w:r>
    </w:p>
    <w:p>
      <w:r>
        <w:rPr>
          <w:b/>
        </w:rPr>
        <w:t>E. 3</w:t>
      </w:r>
    </w:p>
    <w:p>
      <w:r>
        <w:t>Das Erlassgesuch ist demgemäss gutzuheissen. Auf die Erhebung einer Gerichtsgebühr ist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