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 vom 3. Dezember 2018</w:t>
      </w:r>
    </w:p>
    <w:p>
      <w:r>
        <w:t>BS Appellationsgericht, 2018-12-03, DE</w:t>
      </w:r>
    </w:p>
    <w:p>
      <w:r>
        <w:rPr>
          <w:b/>
        </w:rPr>
        <w:t xml:space="preserve">Quelle: </w:t>
      </w:r>
      <w:r>
        <w:t>https://mcp.opencaselaw.ch/entscheid/bs_appellationsgericht_SB.2017.7</w:t>
      </w:r>
    </w:p>
    <w:p>
      <w:r>
        <w:t>FR: BS_APPELLATIONSGERICHT SB.2017.7 du 3 décembre 2018</w:t>
      </w:r>
    </w:p>
    <w:p>
      <w:r>
        <w:t>IT: BS_APPELLATIONSGERICHT SB.2017.7 del 3 dicembre 2018</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(Domeisen, in: Basler Kommentar, 2. Auflage 2014, Art. 425 StPO N 2), keinen Gebrauch gemacht hat (vgl.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(vgl. statt vieler: AGE SB.2016.76 vom 19. Dezember 2017 E. 1.2). Das Berufungsurteil vom 27. April 2018 wurde durch das Appellationsgericht erlassen, weshalb zur Behandlung des Kostenerlassgesuchs dessen Einzelrichter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2.2Der Gesuchsteller hat belegt, dass er mit einem bescheidenen Einkommen auskommen muss, dass er Abzahlungen an die Genugtuungsforderung des Vaters des Opfers leistet und dass er im Sommer 2018 die Berufsmatura bestanden hat. Daneben hat er glaubhaft dargetan, dass er in naher Zukunft berufsbegleitend ein Studium aufnehmen möchte. Sein Wunsch, sich weiterzubilden, ist ebenso zu begrüssen wie sein Bemühen zur Schadensbehebung beizutragen. Unter diesen Umständen erscheint die Kostenauflage im Sinne des vorstehend Ausgeführten als unbillig, zumal nicht davon auszugehen ist, dass sich an der finanziellen Situation des Gesuchstellers innert absehbarer Zeit etwas ändern dürfte.</w:t>
      </w:r>
    </w:p>
    <w:p>
      <w:r>
        <w:rPr>
          <w:b/>
        </w:rPr>
        <w:t>E. 3</w:t>
      </w:r>
    </w:p>
    <w:p>
      <w:r>
        <w:t>Damit rechtfertigt es sich, das Gesuch um Erlass der Kosten und Gebühren im Betrag von CHF 8844.92 insofern gutgeheissen, als der Gesuchsteller für die Dauer von zwölf Monaten, beginnend per 1. Januar 2019, monatliche Abzahlungen von je CHF 50. zu leisten hat. Nach Tilgung der letzten Rate bzw. nach Bezahlung des Gesamtbetrags von CHF 600. wird die Restforderung erlassen.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