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SB.2016.88 vom 25. Juli 2019</w:t>
      </w:r>
    </w:p>
    <w:p>
      <w:r>
        <w:t>BS Appellationsgericht, 2019-07-25, DE</w:t>
      </w:r>
    </w:p>
    <w:p>
      <w:r>
        <w:rPr>
          <w:b/>
        </w:rPr>
        <w:t xml:space="preserve">Quelle: </w:t>
      </w:r>
      <w:r>
        <w:t>https://mcp.opencaselaw.ch/entscheid/bs_appellationsgericht_SB.2016.88</w:t>
      </w:r>
    </w:p>
    <w:p>
      <w:r>
        <w:t>FR: BS_APPELLATIONSGERICHT SB.2016.88 du 25 juillet 2019</w:t>
      </w:r>
    </w:p>
    <w:p>
      <w:r>
        <w:t>IT: BS_APPELLATIONSGERICHT SB.2016.88 del 25 luglio 2019</w:t>
      </w:r>
    </w:p>
    <w:p>
      <w:pPr>
        <w:pStyle w:val="Heading2"/>
      </w:pPr>
      <w:r>
        <w:t>Erwägungen</w:t>
      </w:r>
    </w:p>
    <w:p>
      <w:r>
        <w:rPr>
          <w:b/>
        </w:rPr>
        <w:t>E. 1</w:t>
      </w:r>
    </w:p>
    <w:p>
      <w:r>
        <w:t>Gemäss Art. 425 der Strafprozessordnung (StPO, SR 312.0) können Forderungen aus Verfahrenskosten von der Strafbehörde gestundet, herabgesetzt oder erlassen werden. Im Kanton Basel-Stadt ist gemäss § 43 Abs. 3 des Gerichtsorganisationsgesetzes (GOG, SG 154.100) für den nachträglichen Erlass der Verfahrenskosten die Einzelrichterin oder der Einzelrichter zuständig. Entsprechend hat über das vorliegende Gesuch das Einzelgericht des Appellationsgerichts zu entscheiden.</w:t>
      </w:r>
    </w:p>
    <w:p>
      <w:r>
        <w:rPr>
          <w:b/>
        </w:rPr>
        <w:t>E. 2</w:t>
      </w:r>
    </w:p>
    <w:p>
      <w:r>
        <w:t>2.1Art. 425 StPO hält fest, dass ein Erlass von Verfahrenskosten unter Berücksichtigung der wirtschaftlichen Verhältnisse der kostenpflichtigen Person erfolgt. Diese müssen derart angespannt sein, dass eine (ganze oder teilweise) Kostenauflage als unbillig erscheint, wovon auszugehen ist, wenn die kostenpflichtige Person mittellos ist oder die Höhe der Kosten zusammen mit ihren übrigen Schulden die Resozialisierung bzw. das finanzielle Weiterkommen ernsthaft gefährden kann (Domeisen, in: Basler Kommentar, 2. Aufl. 2014, Art. 425 StPO N 4).</w:t>
      </w:r>
    </w:p>
    <w:p>
      <w:r>
        <w:t>2.2Der anwaltlich vertretene Gesuchsteller macht geltend, er sei als Betreiber eines kleinen Lebensmittelladens selbständig erwerbend. Er sei zweifacher und bald dreifacher Familienvater und habe mit einer sehr angespannten finanziellen Situation zu kämpfen. Der Betrieb des kleinen Ladens bringe grosse finanzielle Investitionen mit sich. Anlässlich der Verhandlung vom 8. November 2018 hatte der Gesuchsteller angegeben, er habe zwei Angestellte für den Laden, eine im Stundenlohn auf Abruf und der andere seit 6  7 Jahren mit einem Pensum von 60 %. Im Übrigen hat er nur vage Angaben zur finanziellen Situation gemacht (VP S.</w:t>
      </w:r>
    </w:p>
    <w:p>
      <w:r>
        <w:rPr>
          <w:b/>
        </w:rPr>
        <w:t>E. 4</w:t>
      </w:r>
    </w:p>
    <w:p>
      <w:r>
        <w:t>f.).</w:t>
      </w:r>
    </w:p>
    <w:p>
      <w:r>
        <w:t>2.3Der anwaltlich vertretene Gesuchsteller legt seine Einkommens- und Vermögensverhältnisse nicht einmal im Ansatz dar. Keinen einzigen Beleg reicht er für die von ihm selber nachzuweisende Hypothese ein, dass seine wirtschaftlichen Verhältnisse angespannt sein sollen. Es steht im Belieben des Gesuchstellers, geeignete Dokumente aufzulegen, die ein verlässliches und komplettes Bild über seine finanzielle Situation abgeben können, so beispielsweise:</w:t>
      </w:r>
    </w:p>
    <w:p>
      <w:r>
        <w:t>Die vom Gesuchsteller behauptete angespannte finanzielle Situation ist durch nichts belegt. Dies führt zur Abweisung des Gesuchs.</w:t>
      </w:r>
    </w:p>
    <w:p>
      <w:r>
        <w:t>3.</w:t>
      </w:r>
    </w:p>
    <w:p>
      <w:r>
        <w:t>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