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SB.2016.62 vom 9. Dezember 2017</w:t>
      </w:r>
    </w:p>
    <w:p>
      <w:r>
        <w:t>BS Appellationsgericht, 2017-12-09, DE</w:t>
      </w:r>
    </w:p>
    <w:p>
      <w:r>
        <w:rPr>
          <w:b/>
        </w:rPr>
        <w:t xml:space="preserve">Quelle: </w:t>
      </w:r>
      <w:r>
        <w:t>https://mcp.opencaselaw.ch/entscheid/bs_appellationsgericht_SB.2016.62</w:t>
      </w:r>
    </w:p>
    <w:p>
      <w:r>
        <w:t>FR: BS_APPELLATIONSGERICHT SB.2016.62 du 9 décembre 2017</w:t>
      </w:r>
    </w:p>
    <w:p>
      <w:r>
        <w:t>IT: BS_APPELLATIONSGERICHT SB.2016.62 del 9 dicembre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Der Berufungskläger ist vom angefochtenen Urteil berührt und hat ein rechtlich geschütztes Interesse an dessen Aufhebung oder Änderung, so dass er gemäss Art. 382 Abs. 1 StPO zur Berufungserhebung legitimiert ist. Die Berufung ist gemäss Art. 399 Abs. 1 und</w:t>
      </w:r>
    </w:p>
    <w:p>
      <w:r>
        <w:rPr>
          <w:b/>
        </w:rPr>
        <w:t>E. 3</w:t>
      </w:r>
    </w:p>
    <w:p>
      <w:r>
        <w:t>Die Berufung ist nach dem Gesagten abzuweisen und das Urteil der Vorinstanz vollumfänglich zu bestätigen. Dem Ausgang des Verfahrens entsprechend ist der erstinstanzliche Kostenentscheid zu bestätigen und hat der im Berufungsverfahren unterliegende Berufungskläger auch die zweitinstanzlichen Verfahrenskosten mit einer Urteilsgebühr von CHF 400.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