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SB.2016.47 vom 19. September 2017</w:t>
      </w:r>
    </w:p>
    <w:p>
      <w:r>
        <w:t>BS Appellationsgericht, 2017-09-19, DE</w:t>
      </w:r>
    </w:p>
    <w:p>
      <w:r>
        <w:rPr>
          <w:b/>
        </w:rPr>
        <w:t xml:space="preserve">Quelle: </w:t>
      </w:r>
      <w:r>
        <w:t>https://mcp.opencaselaw.ch/entscheid/bs_appellationsgericht_SB.2016.47</w:t>
      </w:r>
    </w:p>
    <w:p>
      <w:r>
        <w:t>FR: BS_APPELLATIONSGERICHT SB.2016.47 du 19 septembre 2017</w:t>
      </w:r>
    </w:p>
    <w:p>
      <w:r>
        <w:t>IT: BS_APPELLATIONSGERICHT SB.2016.47 del 19 settembre 2017</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Die Staatsanwaltschaft ist gemäss Art. 381 Abs. 1 StPO zur Erhebung von Rechtsmitteln legitimiert. Sie hat ihre Berufungsanmeldung und -erklärung innert der gesetzlichen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rPr>
          <w:b/>
        </w:rPr>
        <w:t>E. 1.2</w:t>
      </w:r>
    </w:p>
    <w:p>
      <w:r>
        <w:t>Mit Schreiben vom 14. Juni 2017 ersuchte der Beschuldigte um Dispensation von der Teilnahme an der zweitinstanzlichen Hauptverhandlung, was ihm mit Verfügung vom 24. Juli 2017 gewährt wurde. Die Verhandlung fand daher in Anwendung von Art. 405 Abs. 2 StPO im Beisein seines Verteidigers ohne ihn statt.</w:t>
      </w:r>
    </w:p>
    <w:p>
      <w:r>
        <w:t>1.3Die Verteidigung bezweifelt, dass die Depositionen der in der zweitinstanzlichen Hauptverhandlung angehörten Zeugen B____ und C____ verwertbar seien, da keine Zeugenbelehrung mit Hinweis auf die Wahrheitspflicht erfolgt sei. Da dem Protokoll und der zugehörigen Audioaufnahme zu entnehmen ist, dass die vorsitzende Präsidentin beide Zeugen korrekt über ihre Rechte und Pflichten belehrt hat, erübrigen sich weitere Ausführungen zu diesem Punkt.</w:t>
      </w:r>
    </w:p>
    <w:p>
      <w:r>
        <w:rPr>
          <w:b/>
        </w:rPr>
        <w:t>E. 2</w:t>
      </w:r>
    </w:p>
    <w:p>
      <w:r>
        <w:t>2.1Es ist unbestritten, dass der Beschuldigte am 31. Dezember 2014 auf der Nauenstrasse in Richtung Aeschengraben das Rotlicht bei der Verzweigung Peter Merian-Strasse mit einer Geschwindigkeit von mindestens 24 km/h (gemessene 29 km/h minus 5 km/h Toleranz) überfahren hat. Auch nach Ansicht der Vorinstanz ist evident, dass das Überfahren eines Rotlichts die Verletzung einer wichtigen Verkehrsregel darstellt. Die Vorinstanz geht zudem davon aus, dass der Beschuldigte durch sein Verhalten eine erhöhte abstrakte Gefahr für den Einradfahrer geschaffen hat, der auf dem Fussgängerstreifen korrekt die Strasse überquert hat, obschon das Fahrzeug des Beschuldigten noch vor diesem zum Stillstand gekommen ist. Der objektive Tatbestand einer schweren Verkehrsregelverletzung im Sinne von Art. 90 Abs. 2 SVG sei somit erfüllt. Die Vorinstanz verweist auf die ständige Gerichtspraxis, wonach beim Überfahren eines Rotlichts auf die Dauer der vorangegangenen Rotphase abzustellen sei. Im vorliegenden Fall habe die Ampel dem herannahenden Beschuldigten seit 5,5 Sekunden Rot angezeigt, sodass nicht mehr von einer momentanen Unaufmerksamkeit gesprochen werden könne, wie sie einem anderen Verkehrsteilnehmer auch passieren könnte. Um in diesem Fehlverhalten lediglich eine leichte Fahrlässigkeit zu erblicken, welche das momentane Versagen in einem milderen Lichte erscheinen liesse, müssten besondere Umstände hinzukommen. Solche Umstände erblickt die Vorinstanz darin, dass der Beschuldigte mit lediglich 24 km/h auf das Rotlicht zugefahren sei, dieses im letzten Moment doch noch wahrgenommen und abgebremst habe. Er sei deshalb doch nicht gänzlich unaufmerksam gewesen, weshalb nicht von einem rücksichtslosen oder sonst schwerwiegend regelwidrigem Verhalten gesprochen werden könne. Mit Verweis auf Entscheid AP.2010.2 des Appellationsgerichts qualifizierte die Vorinstanz das Verhalten des Beschuldigten als einfache Verletzung der Verkehrsregeln im Sinne von Art. 90 Abs. 1 SVG in Verbindung mit Art. 27 Abs. 1 SVG und Art. 68 Abs. 1bisSSV (Urteil Strafgericht S. 2-4).</w:t>
      </w:r>
    </w:p>
    <w:p>
      <w:r>
        <w:t>2.2Die Berufung der Staatsanwaltschaft richtet sich gegen diese rechtliche Qualifikation. Ob und zu welchem Zeitpunkt der Beschuldigte gebremst habe, sei aufgrund der vorhandenen Beweismittel nicht feststellbar. Vielmehr sprächen die Gestik des Fahrers sowie der Umstand, dass auf den vorhandenen Bildern keine aufleuchtenden Bremslichter zu sehen seien, gegen ein abruptes Bremsmanöver und somit gegen die Annahme, dass der Beschuldigte das Rotlicht im letzten Moment doch noch gesehen habe. Der Verweis auf das zitierte Urteil des Appellationsgerichts sei unbehelflich, da die dortige Täterschaft das Rotlicht mit lediglich 15 km/h überfahren habe und dies zudem in einer weit weniger übersichtlichen Situation. Es sei vom Vorliegen einer groben Verkehrsregelverletzung im Sinne von Art. 90 Abs. 2 SVG auszugehen (Berufungsbegründung S. 1-3).</w:t>
      </w:r>
    </w:p>
    <w:p>
      <w:r>
        <w:t>2.3Nach Ansicht der Verteidigung zeigt das vorhandene Fotomaterial zwei Fahrzeugpositionen: Das Überfahren des Haltebalkens vor dem Rotlicht mit einer Geschwindigkeit von 24 km/h sowie die Endposition des stehenden Fahrzeugs nach erfolgter Bremsung. Die nach dem Stoppbalken noch zurückgelegte Strecke schätzt die Verteidigung anhand einer Fahrzeuglänge von 4,7 und dem Abstand zwischen Heck und Haltebalken von rund einer halben Fahrzeuglänge auf sieben Meter (Anm.: Das auf dem eingereichten Datenblatt beschriebene Fahrzeug entspricht nicht dem verwendeten Modell Audi Q3 sondern einem Audi A4). Ein solcher Bremsweg sei nur ohne vorgängige Reaktionszeit zu erreichen, woraus sich ergebe, dass der Beschuldigte bereits beim Haltebalken gebremst haben müsse. Er habe aufgrund einer kurzen Aufmerksamkeit das Rotlicht zu spät gesehen, was eine leichte Fahrlässigkeit darstelle (Berufungsantwort S. 2-4). In der zweitinstanzlichen Hauptverhandlung liess der Verteidiger offen, ob eine einfache oder grobe Verletzung der Verkehrsregeln vorliegt (Prot. S. 4).</w:t>
      </w:r>
    </w:p>
    <w:p>
      <w:r>
        <w:t>2.4Es ist zunächst zu klären, welche Erkenntnisse aus den vorhandenen Bildern zu gewinnen sind. Wie dem schriftlichen Bericht von B____ zu entnehmen ist, erfolgen sämtliche Messungen im Bereich des Haltebalkens. Die Geschwindigkeitsmessung erfolgt durch eine Weg/Zeitberechnung zwischen zwei Induktionsschlaufen, welche in der Fahrbahn verlegt sind. Beim Überfahren des Rotlichts wird die erste Kamera ausgelöst. Das zweite Bild dient lediglich der optimalen Erkennbarkeit des Fahrers, und die eingeblendete Geschwindigkeit entspricht nicht jener zum Zeitpunkt der zweiten Aufnahme sondern dem zuvor ermittelten Wert. Die angezeigten 24 km/h wurden demnach beim Überfahren des Haltebalkens acht Meter vor der zweiten Fotoposition gemessen. Nicht belegen lässt sich die Annahme der Verteidigung in ihrer Berufungsantwort, das zweite Bild zeige die Endposition des stehenden Fahrzeugs. Eine Aussage über die Geschwindigkeit, Beschleunigung oder Verlangsamung des Fahrzeugs ist anhand des Bildes nicht möglich (Bericht Schielke ad Frage 3), weshalb die Berechnungen der Verteidigung keinerlei Aussagekraft haben. Der Darstellung der Verteidigung folgend hätten jedoch auf dem zweiten Bild die Bremsleuchten noch aktiv sein müssen, was nicht der Fall ist. Nachdem C____ in der Hauptverhandlung ausschliessen konnte, dass ein Ausfall der Bremsleuchten unbemerkt geblieben sein könnte, da dies dem Fahrer durch die Bordelektronik des verwendeten Fahrzeugs signalisiert worden wäre (Prot. S. 3), ist somit erstellt, dass der Beschuldigte zum Zeitpunkt der Aufnahme des zweiten Bildes noch nicht am Bremsen war. Es ist demnach davon auszugehen, dass er erst bremste, als er den Einradfahrer auf dem Fussgängerstreifen gewahrte. Das Rotlicht hatte er somit nicht zu spät, sondern gar nicht gesehen und dies nicht ‒ wie von der Verteidigung behauptet ‒ aufgrund einer kurzen Unaufmerksamkeit, sondern nachdem die Ampel bereits 5,5 Sekunden Rot angezeigt hatte, der notabene noch eine Gelbphase vorangegangen war. Entsprechend brachte er sein Fahrzeug erst später und erst kurz vor dem Fussgängerstreifen zum Stehen, womit die Gefährdung des Einradfahrers konkret gegeben war. In Gutheissung der Berufung der Staatsanwaltschaft ergeht daher Schuldspruch wegen grober Verletzung der Verkehrsregeln.</w:t>
      </w:r>
    </w:p>
    <w:p>
      <w:r>
        <w:rPr>
          <w:b/>
        </w:rPr>
        <w:t>E. 3</w:t>
      </w:r>
    </w:p>
    <w:p>
      <w:r>
        <w:t>Die grobe Verletzung der Verkehrsregeln stellt ein Vergehen dar, das mit Geldstrafe oder Freiheitsstrafe bis zu drei Jahren zu ahnden ist (Art. 90 Abs. 2 SVG).</w:t>
      </w:r>
    </w:p>
    <w:p>
      <w:r>
        <w:t>Von Seiten der Staatsanwaltschaft wird eine Geldstrafe von 10 Tagessätzen zu CHF 110.‒ beantragt. Die Verteidigung beantragt eine Geldstrafe von 5 Tagessätzen zu CHF 100.‒, als Zusatzstrafe zum Strafbefehl vom 16. März 2017. Der Staatsanwalt hat in seiner Replik anlässlich der Berufungsverhandlung ebenfalls das Ausfällen einer Zusatzstrafe zum genannten Strafbefehl beantragt, allerdings rechtfertige sich keine Reduktion der Tagessätze, da der Beschuldigte, der regelmässig gegen das SVG verstosse, nicht mit einer Strafreduktion zu belohnen sei.</w:t>
      </w:r>
    </w:p>
    <w:p>
      <w:r>
        <w:t>Für die Strafzumessung bei häufig vorkommenden Strassenverkehrsdelikten können die öffentlich einsehbaren Richtlinien des Verbands Bernischer Richterinnen und Richter, Staatsanwältinnen und Staatsanwälte (VBRS) herangezogen werden (http://www.justice.be.ch/justice/de/index/strafverfahren/strafverfahren/formulare_merkblaetter.html), die für eine grobe Verkehrsregelverletzung Geldstrafen von mindestens 12 Tagessätzen vorsehen. Aufgrund der einschlägigen Vorstrafen des Beschuldigten rechtfertigt sich eine Erhöhung auf 15 Tagessätze Geldstrafe. Die Tagessatzhöhe bemisst sich an den aktuellen wirtschaftlichen und persönlichen Verhältnissen des Täters zum Zeitpunkt des Urteils (Art. 34 Abs. 2 StGB). Diese Verhältnisse sind ungewiss, da sich der Beschuldigte auf Weltreise befindet, weshalb gemäss Verteidigung weder er noch seine Partnerin über ein Einkommen verfügen. Offenbar besitzt der Beschuldigte ein Haus, wobei unklar ist, ob dieses vermietet wird. Auch die beruflichen Aussichten nach der Rückkehr sind ungeklärt. Da der Beschuldigte sich in selbstgewählter Arbeitslosigkeit befindet und offenbar über die notwendigen Rückstellungen verfügt, mit seiner Familie auf Weltreise zu gehen, kann sich seine aktuelle Erwerbslosigkeit jedoch nicht in einer minimalen Tagessatzhöhe niederschlagen. Das Gericht bemisst die Tagessatzhöhe auf CHF 110.‒ und schliesst sich damit jener Höhe an, welche der Ministère public de larrondissement du nord vaudois im Strafbefehl vom 16. März 2017 errechnet hat. Dies entspricht auch der von der Verteidigung beantragten Tagessatzhöhe.</w:t>
      </w:r>
    </w:p>
    <w:p>
      <w:r>
        <w:t>Das Ausfällen einer Zusatzstrafe würde in Anwendung des Asperationsprinzips eine Verminderung des Strafmasses mit sich bringen. Es ist indes keine Zusatzstrafe zu bilden, da sich das mit Strafbefehl vom 16. März 2017 sanktionierte Delikt am 21. August 2016 und somit nach dem erstinstanzlichen Urteil bezüglich der hier beurteilten Tat ereignet hat (siehe dazu BGE 138 IV 113 E.3.4.).</w:t>
      </w:r>
    </w:p>
    <w:p>
      <w:r>
        <w:rPr>
          <w:b/>
        </w:rPr>
        <w:t>E. 4</w:t>
      </w:r>
    </w:p>
    <w:p>
      <w:r>
        <w:t>Die Vorinstanz hat eine Übertretungsbusse ausgefällt und deshalb nicht über den Widerruf der bedingten Vorstrafe von 15 Tagessätzen zu CHF 80.‒ des Ministère public Neuchâtel vom 17. Januar 2013 befinden können. Aufgrund der Verurteilung wegen eines Vergehens innerhalb der zweijährigen Probezeit des genannten Entscheids ist der Widerruf zu prüfen (Art. 46 Abs. 1 StGB). Es kann auf den Widerruf verzichtet werden, wenn dem Beurteilten keine schlechte Legalprognose gestellt werden muss (Abs. 2). Da es sich sowohl bei der damals auch bei der hier beurteilten Tat um ein Vergehen gegen das Strassenverkehrsgesetz handelt und inzwischen eine weiterer einschlägiger Strafbefehl ergangen ist, muss die Legalprognose bezüglich ähnlich gelagerter Delikte als schlecht bezeichnet werden, womit die bedingte Vorstrafe vollziehbar zu erklären ist.</w:t>
      </w:r>
    </w:p>
    <w:p>
      <w:r>
        <w:rPr>
          <w:b/>
        </w:rPr>
        <w:t>E. 5</w:t>
      </w:r>
    </w:p>
    <w:p>
      <w:r>
        <w:t>Bei diesem Ausgang des Verfahrens dringt die Staatsanwaltschaft mit ihrer Berufung durch. Die Kosten des erstinstanzlichen Verfahrens gehen somit vollumfänglich zu Lasten des Beschuldigten. Seine Verteidigungskosten, welche ihm gemäss erstinstanzlichem Entscheid aus der Gerichtskasse erstattet worden wären, hat er selbst zu tragen.</w:t>
      </w:r>
    </w:p>
    <w:p>
      <w:r>
        <w:t>Der Verteidiger moniert, der Sachverhalt sei vor dem Berufungsverfahren ungenügend abgeklärt worden. Dies rechtfertige auch bei einem Schuldspruch wegen grober Verletzung der Verkehrsregeln nur eine teilweise Auferlegung der Verfahrenskosten (Prot. S. 4). Es ist jedoch der Staatsanwaltschaft beizupflichten, dass standardmässige Zusatzabklärungen im Bereich dieser Delinquenz einen unverhältnismässigen Aufwand darstellen würde und dass die Beweislage zudem ausreichend war. Es waren vielmehr die von der Verteidigung aufgeworfenen Fragen und Theorien, die das Einholen von Expertisen erforderlich machten. Beizufügen ist, dass dem Beschuldigten durch das Einholen der Berichte im Berufungsverfahren keine Mehrkosten entstanden sind. Hingegen haben die beiden Zeugen für ihr Erscheinen an der zweitinstanzlichen Hauptverhandlung Aufwand von CHF 1123.20 (Fa. ) bzw. CHF 150.‒ (MFK) geltend gemacht. Da die Verteidigung auf die Befragung der beiden Experten vorgängig verzichtet hatte und aus ihren Depositionen anlässlich der Hauptverhandlung keine weitergehenden Erkenntnisse gewonnen werden konnten, erscheint eine Kostenauflage zu Lasten des Beschuldigten jedoch unbillig. Die Zeugen sind somit aus der Gerichtskasse zu entschädigen.</w:t>
      </w:r>
    </w:p>
    <w:p>
      <w:r>
        <w:t>Die Verteidigung beantragt schliesslich, es sei der Zeuge B____ zu CHF 150.‒ Schadenersatz an den Beschuldigten zu verpflichten, da durch die Verspätung des Zeugen Mehraufwand entstanden sei. Der Verteidiger nennt indes keine Rechtsgrundlage für eine solche Kostenauflage. Das Gericht kommt dem Beschuldigten hingegen mit einer um CHF 200.‒ reduzierten Urteilsgebühr von CHF 600.‒ entgegen, da er die dreiviertelstündige Verzögerung der Hauptverhandlung nicht verschuldet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