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SB.2016.101 vom 15. November 2021</w:t>
      </w:r>
    </w:p>
    <w:p>
      <w:r>
        <w:t>BS Appellationsgericht, 2021-11-15, DE</w:t>
      </w:r>
    </w:p>
    <w:p>
      <w:r>
        <w:rPr>
          <w:b/>
        </w:rPr>
        <w:t xml:space="preserve">Quelle: </w:t>
      </w:r>
      <w:r>
        <w:t>https://mcp.opencaselaw.ch/entscheid/bs_appellationsgericht_SB.2016.101</w:t>
      </w:r>
    </w:p>
    <w:p>
      <w:r>
        <w:t>FR: BS_APPELLATIONSGERICHT SB.2016.101 du 15 novembre 2021</w:t>
      </w:r>
    </w:p>
    <w:p>
      <w:r>
        <w:t>IT: BS_APPELLATIONSGERICHT SB.2016.101 del 15 novembre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22. Januar 2021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2.2Die Gesuchstellerin legt mit ihrem Erlassgesuch zahlreiche Beilagen ins Recht, aus welchen hervorgeht, dass sie eine Invalidenrente von monatlich CHF 1'785. (Schreiben der Ausgleichskasse Basel-Stadt vom 21. Dezember 2020) sowie eine Rente der [...] von monatlich CHF 1'013. bezieht (Berechnungsblatt der Ergänzungsleistung vom Amt für Sozialbeiträge). Da ihre Einkünfte nicht genügen, um ihre monatlichen Heimkosten von CHF 2'806., ihre Krankenkassenkosten und ihre persönlichen Auslagen zu decken, ist die Gesuchstellerin ausserdem auf Ergänzungsleistungen von CHF 1'019. (inkl. Krankenkassenprämien) bzw. CHF 408. (exkl. Krankenkassenprämien) pro Monat angewiesen. Ihre Mittellosigkeit ist somit ohne weiteres erstellt.</w:t>
      </w:r>
    </w:p>
    <w:p>
      <w:r>
        <w:t>2.3Es bestehen keine Hinweise, dass sich die finanzielle Situation der Gesuchstellerin in naher Zukunft wesentlich ändern bzw. verbessern wird. Im Gegenteil. Die Gesuchstellerin hat Jahrgang [...] und bezieht, wie erwähnt, eine Invalidenrente und lebt in einem betreuten Heim. Es kann ausgeschlossen werden, dass sich ihre berufliche und finanzielle Situation in Zukunft (zum positiven) ändern wird. In Anbetracht dieser Umstände und aufgrund ihres äusserst angespannten Budgets wird es der Gesuchstellerin auch in Zukunft nicht möglich sein, den offenstehenden Betrag zu begleichen. Aus denselben Gründen wäre auch einer Vereinbarung von Ratenzahlungen oder einer Stundung der Forderung kein Erfolg beschieden. Insgesamt erscheint es somit gerechtfertigt, der Gesuchstellerin die gesamten ausstehenden Verfahrenskosten zu erlassen.</w:t>
      </w:r>
    </w:p>
    <w:p>
      <w:r>
        <w:rPr>
          <w:b/>
        </w:rPr>
        <w:t>E. 3</w:t>
      </w:r>
    </w:p>
    <w:p>
      <w:r>
        <w:t>Aus diesen Erwägungen folgt, dass das Erlassgesuch gutzuheissen ist.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