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SB.2015.116 vom 19. August 2016</w:t>
      </w:r>
    </w:p>
    <w:p>
      <w:r>
        <w:t>BS Appellationsgericht, 2016-08-19, DE</w:t>
      </w:r>
    </w:p>
    <w:p>
      <w:r>
        <w:rPr>
          <w:b/>
        </w:rPr>
        <w:t xml:space="preserve">Quelle: </w:t>
      </w:r>
      <w:r>
        <w:t>https://mcp.opencaselaw.ch/entscheid/bs_appellationsgericht_SB.2015.116</w:t>
      </w:r>
    </w:p>
    <w:p>
      <w:r>
        <w:t>FR: BS_APPELLATIONSGERICHT SB.2015.116 du 19 août 2016</w:t>
      </w:r>
    </w:p>
    <w:p>
      <w:r>
        <w:t>IT: BS_APPELLATIONSGERICHT SB.2015.116 del 19 agosto 2016</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nur in den angefochtenen Punkten (Art. 404 Abs. 1 StPO). Welche Punkte des Urteils angefochten werden, ist in der Berufungserklärung anzugeben (Art. 399 Abs. 3 und 4 StPO). Eine spätere Ausdehnung der Berufung ist ausgeschlossen (Schmid, Schweizerische Strafprozessordnung, Praxiskommentar,</w:t>
      </w:r>
    </w:p>
    <w:p>
      <w:r>
        <w:rPr>
          <w:b/>
        </w:rPr>
        <w:t>E. 2</w:t>
      </w:r>
    </w:p>
    <w:p>
      <w:r>
        <w:t>Auflage, Zürich 2013, Art. 47 N 27). Gleiches muss auch für Elemente des Grundtatbestands, die keine Veränderung des Strafrahmens bewirken, gelten. Entsprechend ist vorliegend sowohl bezüglich des qualifizierenden Tatumstands der Gewerbsmässigkeit (im Tatkomplex C) als auch bezüglich des Tatbestandselements der Arglist (in den Tatkomplexen A, B und C) deren jeweilige Intensität (verglichen mit anderen möglichen Verwirklichungen des Elements) in die Strafzumessung miteinzubeziehen.</w:t>
      </w:r>
    </w:p>
    <w:p>
      <w:r>
        <w:rPr>
          <w:b/>
        </w:rPr>
        <w:t>E. 2.3</w:t>
      </w:r>
    </w:p>
    <w:p>
      <w:r>
        <w:t>2.3.1Innerhalb des vorstehend genannten Strafrahmens ist die Strafe nach dem Verschulden des Täters zuzumessen, wobei das Vorleben und die persönlichen Verhältnisse sowie die Wirkung der Strafe auf das Leben des Täters zu berücksichtigen sind (Art. 47 Abs. 1 StGB). Dabei ist bezüglich der objektiven Tatschwere zunächst auf das Ausmass des schuldhaft herbeigeführten Erfolges abzustellen, wobei bezüglich der Delikte, die nicht über das Versuchsstadium hinausgelangt sind, die Nähe des Erfolges von Bedeutung ist (Trechsel/Affolter-Eijsten, a.a.O., Art. 47 N 18). Zutreffend ist die Vorinstanz für die vollenden Betrugshandlungen von einem Deliktsbetrag von rund CHF 75000. ausgegangen. Dass dieser sich einerseits aus einem einzelnen Kredit in Höhe von CHF 46000. (AS Ziff. 1.4), andererseits aus einer Vielzahl kleinerer Beträge zusammensetzt, vermag den Berufungskläger entgegen dessen Vorbringen (vgl. Berufungsbegründung Ziff. 5) nicht zu entlasten. Im Gegenteil demonstriert diese Aufteilung, dass der Berufungskläger einerseits im Rahmen des Tatkomplexes A mittels betrügerischer Kreditanträge hohe Einzelbeträge zu erlangen versuchte (und hiermit einmal auch Erfolg hatte), in der Folgezeit im Tatkomplex C jedoch ebenso bereit war, mittels einer Vielzahl von Betrugshandlungen jeweils vergleichsweise tiefe Einzelbeträge (entsprechend den Warenwerten der bezogenen Mobiltelefone) erhältlich zu machen. Aufgrund dieses Verhaltensmuster ist denn auch das Argument des Berufungskläger zurückzuweisen, wonach die (mit einer Ausnahme) nur bis ins Versuchsstadium gelangten betrügerischen Kreditanträge im Tatkomplex A bezüglich der Deliktssumme von zusätzlich insgesamt CHF 445000. von vornherein keine Berücksichtigung finden dürften. Denn zunächst ist ein Teil der Kreditanträge erst nach der Auszahlung des Kredits gemäss AS Ziff. 1.4 gestellt worden, wobei sich bereits bei einem weiteren erfolgreichen Antrag die Deliktssumme der vollendeten Betrugshandlungen um CHF 70000. bis 80000. erhöht hätte. Sodann zeigt gerade das spätere Verhalten des Berufungsklägers im Tatkomplex C, dass dieser offenkundig weiterhin bestrebt war, Betrugshandlungen zur eigenen Bereicherung vorzunehmen. Dabei ergeben sich sowohl aufgrund der Darstellung des Berufungsklägers, wonach es ihm bei den Kreditanträgen gar nicht darum gegangen sei, Geld zu machen (Prot. HV Akten S. 3634), als auch mit Blick auf die dazu in einem gewissen Widerspruch stehende Angabe, er habe mit den ausbezahlten CHF 46000. zumindest teilweise Schulden zurückbezahlt, wobei die Gesamtsumme der Schulden auf CHF 400000. bis 500000. veranschlagt wird (Prot. HV Akten S.3630 f., 3634), keine Anhaltspunkte dafür, dass sich der Berufungskläger im Tatkomplex A im Falle weiterer erfolgreicher Tathandlungen von vornherein auf einen bestimmten Höchstbetrag beschränkt hätte. Ist damit sowohl für die vollendeten wie auch für die versuchten Taten von hohen Deliktssummen auszugehen, so ist der Vorinstanz überdies auch insoweit zuzustimmen, als bezüglich der Versuche der Nichteintritt des Erfolgs nicht dem Berufungskläger zugutegehalten werden kann, sondern dieser im Gegenteil mit erheblichem Aufwand (vgl. dazu sogleich) auf eine Täuschung der potenziellen Kreditgeber hingewirkt und damit eine erhöhte Wahrscheinlichkeit des Erfolgseintritts herbeigeführt hat.</w:t>
      </w:r>
    </w:p>
    <w:p>
      <w:r>
        <w:t>Was sodann die Art und Weise des Tatvorgehens betrifft, so ist in Übereinstimmung mit dem angefochtenen Entscheid festzuhalten, dass sowohl bezüglich der betrügerischen Kreditanträge im Tatkomplex A als auch hinsichtlich der betrügerisch bezogenen Mobiltelefone im Tatkomplex C ein relativ aufwendiges und planungsintensives deliktisches Verhalten erstellt ist, das überdies von erheblichem Raffinement zeugt und insofern andere als Betrug qualifizierbare Handlungen (wie beispielsweise den auch von der Verteidigung angeführten Ladenbetrug mit Wertzeichenaustausch [vgl. Prot. Berufungsverhandlung S. 7]) bezüglich der Intensität der Verwirklichung des Tatbestandsmerkmals der arglistigen Täuschung deutlich übertrifft. Im Tatkomplex A zeigt sich dies insbesondere in der Herstellung und Verwendung diverser aufeinander abgestimmter gefälschter Dokumente, im Tatkomplex C in den Vorkehren, mit welchen es dem Berufungskläger gelang, die einer Verwendung fiktiver Identitäten entgegenstehende Sicherheitsmassnahme der persönlichen Übergabe bestellter Artikel durch die Post zu umgehen. Nicht stichhaltig ist in diesem Zusammenhang insbesondere der Einwand des Berufungsklägers, es habe hierbei keiner zeitintensiven Eruierung der Routen der die Geräte ausliefernden Postboten bedurft (Berufungsbegründung Ziff. 6; vgl. auch Prot. Berufungsverhandlung S. 4), ist doch das vom Berufungskläger beschriebene System, sich spontan erworbene Kenntnisse solcher Routen anschliessend durch darauf abgestimmte Bestellungen zu Nutzen zu machen, weitaus raffinierter, insofern ein entsprechendes Vorgehen weniger auffällig ist und daher mit höherer Wahrscheinlichkeit unentdeckt bleibt. Zurückzuweisen ist schliesslich das Argument, wonach das Verschulden des Berufungsklägers mit Blick auf die angebliche Leichtfertigkeit der Opfer, namentlich der Telekomunternehmen im Tatkomplex C, zu relativieren sei. Denn zum einen handelt es sich bei der fraglichen Lieferung von Mobiltelefonen um ein Massengeschäft, bei dem ein den Kunden entgegengebrachtes Vertrauen systemimmanent ist und entsprechend die seitens der Anbieter zu erwartenden Vorsichtsmassnahmen von vornherein geringer sind. Zum andern aber hat der Berufungskläger wie vorstehend erwähnt die an sich effektive Sicherheitsschranke der persönlichen Übergabe der Geräte durch die Post durch seine betrügerischen Machenschaften gerade umgangen, woraus indessen angesichts der zum Ersinnen des entsprechenden Tatvorgehens erforderlichen Phantasie nicht auf die generelle Untauglichkeit der ergriffenen Vorsichtsmassnahmen geschlossen werden kann.</w:t>
      </w:r>
    </w:p>
    <w:p>
      <w:r>
        <w:t>Im Rahmen der subjektiven Tatschwere wirken sich schliesslich das direktvorsätzliche Handeln des Berufungsklägers sowie dessen rein finanzielles Motiv zu seinen Ungunsten aus. Unter Berücksichtigung aller Elemente der objektiven und subjektiven Tatkomponente ist das Verschulden in Übereinstimmung mit der Vorinstanz als schwer einzustufen.</w:t>
      </w:r>
    </w:p>
    <w:p>
      <w:r>
        <w:t>2.3.2Die Täterkomponente betreffend kann hinsichtlich des Vorlebens des Berufungsklägers auf die detaillierten und zutreffenden Ausführungen der Vorinstanz verwiesen werden (angefochtenes Urteil S. 70). Im Rahmen der Berufungsverhandlung hat der Berufungskläger bekräftigt, nach Verbüssung seiner Freiheitsstrafe die Schweiz verlassen und in sein Heimatland Kroatien zurückkehren zu wollen (Prot. Berufungsverhandlung S. 3; vgl. auch Vollzugsbericht vom 29. Juli 2016 S. 2 f.). Vorleben (mit Ausnahme der sogleich zu erörternden Vorstrafen), persönliche Verhältnisse und Strafempfindlichkeit des Berufungsklägers wirken sich damit bei der Strafzumessung neutral aus. Zu Recht hat die Vorinstanz demgegenüber die beiden aus den Jahren 2010 und 2012 datierenden Vorstrafen, die ebenfalls unter anderem gewerbsmässigen bzw. mehrfachen Betrug und mehrfache Urkundenfälschung betreffen, erheblich zu Lasten des Berufungsklägers gewichtet. Dass dieser die vorliegend zu beurteilenden Delikte nur kurze Zeit nach der Aussprechung zweier einschlägiger Verurteilungen zu empfindlichen Freiheitsstrafen von 30 bzw. 14 Monaten beging, muss sich in erheblichem Masse straferhöhend auswirken. Zu Gunsten des Berufungsklägers ist demgegenüber sein umfassendes Geständnis in Rechnung zu stellen. Im Sinne eines technischen Strafzumessungsgrundes ist schliesslich straferhöhend zu berücksichtigen, dass der Berufungskläger die zur Beurteilung stehenden Delikte während laufender Probezeit beging.</w:t>
      </w:r>
    </w:p>
    <w:p>
      <w:r>
        <w:t>2.3.3Bezüglich der festzulegenden Strafe setzt die Anwendbarkeit von Art. 49 Abs. 1 StGB voraus, dass für die zur Beurteilung stehenden Delikte nicht lediglich gleichartige Strafen abstrakt angedroht sind, sondern dass im konkreten Fall für die einzelnen Normverstösse gleichartige Strafen ausgefällt würden (BGE 138 IV 120 E. 5 S. 122 f.; vgl. auchAckermann, in: Basler Kommentar, 3. Auflage 2013, Art. 49 StGB N 86 ff.). Dabei ist zu beachten, dass bei der Wahl der Sanktionsart gemäss bundesgerichtlicher Rechtsprechung primär die Zweckmässigkeit einer bestimmten Sanktion, deren Auswirkungen auf den Täter und sein soziales Umfeld sowie ihre präventive Effizienz zu berücksichtigen sind (BGE 134 IV 97 E. 4.2 S. 100). Vorliegend erweist sich angesichts des anhaltenden und intensiven sowie weitestgehend gleichgelagerten deliktischen Verhaltens des Berufungsklägers aus spezialpräventiver Sicht die Aussprechung von Freiheitsstrafen für jedes der zur Beurteilung stehenden Delikte als angezeigt. Entsprechend ist die Vorinstanz zu Recht vom Vorliegen gleichartiger Strafen, die gemäss Art. 49 Abs. 1 StGB zur Bildung einer Gesamtfreiheitsstrafe führen müssen, ausgegangen.</w:t>
      </w:r>
    </w:p>
    <w:p>
      <w:r>
        <w:t>Unter Berücksichtigung der vorstehend erörterten Strafzumessungsfaktoren erscheint dabei für die als Einsatzstrafe festzulegende Sanktion des gewerbsmässigen Betrugs im Tatkomplex C eine Einsatzstrafe von 15 Monaten als angemessen. Unter Berücksichtigung des Asperationsprinzips wäre diese bei einem Ersttäter für die weiteren zur Beurteilung stehenden Delikte auf eine Gesamtstrafe von 24 Monaten zu erhöhen. Aufgrund der beiden einschlägigen, im Tatzeitpunkt erst kurze Zeit zurückliegenden Vorstrafen erscheint eine Erhöhung auf 30 Monate angezeigt.</w:t>
      </w:r>
    </w:p>
    <w:p>
      <w:r>
        <w:t>Der Berufungskläger ist somit in Übereinstimmung mit dem angefochtenen Entscheid zu einer Freiheitsstrafe von 2½ Jahren zu verurteilen. Ebenfalls zutreffend ist der Hinweis der Vorinstanz, wonach Fahren ohne Haftpflichtversicherung gemäss Art. 96 Abs. 2 des Strassenverkehrsgesetzes (SVG, SR 741.01) bei Sanktionierung mit einer Freiheitsstrafe zwingend auch die Auferlegung einer Geldstrafe erfordert, diese jedoch vorliegend auf das absolute Minimum festzusetzen ist, da die verhängte Freiheitsstrafe dem Verschulden des Berufungsklägers angemessen Rechnung trägt (angefochtenes Urteil S. 71). Entsprechend ist zusätzlich zur Freiheitsstrafe eine Geldstrafe von 1 Tagessatz zu CHF 10. auszusprechen.</w:t>
      </w:r>
    </w:p>
    <w:p>
      <w:r>
        <w:t>2.4Bezüglich der Frage des unbedingten oder teilbedingten Strafvollzugs, kann vollumfänglich auf die zutreffenden Ausführungen der Vorinstanz verwiesen werden, wonach vorliegend aufgrund der Anwendbarkeit der in Art. 42 Abs. 2 StGB statuierten Voraussetzungen besonders günstige Umstände erforderlich wären, die angesichts der einschlägigen Vorstrafen bzw. der gleichgelagerten zur Beurteilung stehenden Delikte jedoch von vornherein nicht vorliegen, so dass eine unbedingte Strafe auszusprechen ist (angefochtener Entscheid S. 72).</w:t>
      </w:r>
    </w:p>
    <w:p>
      <w:r>
        <w:rPr>
          <w:b/>
        </w:rPr>
        <w:t>E. 3</w:t>
      </w:r>
    </w:p>
    <w:p>
      <w:r>
        <w:t>Schliesslich beantragt der Berufungskläger wie erwähnt, es sei ihm das Mobiltelefon HTC (Verzeichnis 123251, Position 27) unter Aufhebung der Beschlagnahme herauszugeben. Zur Begründung führt er an, weder stelle das fragliche Mobiltelefon Deliktsgut dar, noch sei erstellt, dass es als Deliktswerkzeug gedient habe (Berufungsbegründung Ziff. 13). Dem hält die Staatsanwaltschaft unter Verweis auf Akten S. 1488 zu Recht entgegen, dass die Auswertung der SIM-Karte, welche bei der Festnahme des Berufungsklägers in dem von diesem mitgeführten Mobiltelefon HTC eingelegt war, ergeben hat, dass ein Abnehmer bzw. Käufer der betrügerisch erlangten Mobiltelefone vorgängig von der entsprechenden Rufnummer aus eine Textmitteilung erhielt, in der es um den Treffpunkt für den Weiterverkauf von betrügerisch erlangten Mobiltelefonen ging (Berufungsantwort Ziff. 5). Entsprechend handelt es sich beim fraglichen Mobiltelefon um ein Deliktswerkzeug, weshalb es gemäss Art. 69 Abs. 1 StGB einzuziehen ist.</w:t>
      </w:r>
    </w:p>
    <w:p>
      <w:r>
        <w:rPr>
          <w:b/>
        </w:rPr>
        <w:t>E. 4</w:t>
      </w:r>
    </w:p>
    <w:p>
      <w:r>
        <w:t>4.1Bei diesem Ausgang des Verfahrens hat der Berufungskläger sowohl die Kosten von CHF 12302.70 sowie die Urteilsgebühr von CHF 5750. für das erstinstanzliche Verfahren als auch die Kosten des zweitinstanzlichen Verfahrens vollumfänglich zu tragen (Art. 426 Abs. 1 und Art. 428 Abs. 1 StPO), wobei für letzteres eine Urteilsgebühr von CHF 900. angemessen erscheint. Die beschlagnahmten CHF 2500. sind mit der Geldstrafe und den Verfahrenskosten zu verrechnen.</w:t>
      </w:r>
    </w:p>
    <w:p>
      <w:r>
        <w:t>4.2Dem amtlichen Verteidiger ist für seine Bemühungen ein angemessenes Honorar aus der Gerichtskasse auszurichten, wobei vollumfänglich auf seine Honorarnote abgestellt werden kann. Zuzüglich Dauer der Berufungsverhandlung von 2.5 Stunden ist der amtlichen Verteidigung für die zweite Instanz somit ein Honorar von CHF 5150. und ein Auslagenersatz von CHF 402.35, zuzüglich 8 % MWST von insgesamt CHF 444.20, zuzusprechen.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