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SB.2014.96 vom 15. Januar 2019</w:t>
      </w:r>
    </w:p>
    <w:p>
      <w:r>
        <w:t>BS Appellationsgericht, 2019-01-15, DE</w:t>
      </w:r>
    </w:p>
    <w:p>
      <w:r>
        <w:rPr>
          <w:b/>
        </w:rPr>
        <w:t xml:space="preserve">Quelle: </w:t>
      </w:r>
      <w:r>
        <w:t>https://mcp.opencaselaw.ch/entscheid/bs_appellationsgericht_SB.2014.96</w:t>
      </w:r>
    </w:p>
    <w:p>
      <w:r>
        <w:t>FR: BS_APPELLATIONSGERICHT SB.2014.96 du 15 janvier 2019</w:t>
      </w:r>
    </w:p>
    <w:p>
      <w:r>
        <w:t>IT: BS_APPELLATIONSGERICHT SB.2014.96 del 15 gennaio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SB.2016.79 vom 3. Januar  2018).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befindet sich seit dem 2. Juni 2015 in der angeordneten stationären Suchttherapie. Diese ist offenbar sehr erfolgreich verlaufen. Wie der Gesuchsteller durch eine Liste der regelmässig durchgeführten Urinproben belegt, lebt er seit über zwei Jahren abstinent und ohne Rückfälle. Im Sommer 2017 begann er nach einem halbjährigen Praktikum eine Lehre als Küchenangestellter und plant, nach deren Abschluss im Sommer 2019 eine Lehre als Koch zu beginnen. Die von ihm eingereichten Arbeitszeugnisse lauten allesamt ausgesprochen positiv. Der Gesuchsteller wird als äusserst zuverlässig, sorgfältig, pflichtbewusst und motiviert beschrieben.</w:t>
      </w:r>
    </w:p>
    <w:p>
      <w:r>
        <w:t>Zur Begründung seines Erlassgesuchs macht der Gesuchsteller geltend, es sei ihm wichtig, seine vorhandenen Schulden zu tilgen und spätestens nach der Lehre schuldenfrei zu sein, um nach Abschluss der Therapie und der Lehre neu starten zu können. Da er neben den Schulden aus dem Gerichtsverfahren noch weitere Schulden bzw. Betreibungen habe, welche er abzahlen möchte, bittet er um Erlass der Verfahrenskosten.</w:t>
      </w:r>
    </w:p>
    <w:p>
      <w:r>
        <w:t>2.3Durch die regelmässige Zahlung von monatlichen Raten à CHF 500. von seinem Lehrlingslohn hat der Gesuchsteller bewiesen, dass es sich bei seinen Beteuerungen nicht um ein blosses Lippenbekenntnis handelt, sondern dass es ihm damit ernst damit ist und er auch persönliche Einbussen in Kauf nimmt, um seine Schulden zu regeln und nach der Lehre ein neues, sucht- und schuldenfreies Leben zu beginnen. In Anerkennung des sehr erfreulichen Therapieverlaufs und der positiven Entwicklung des Gesuchstellers seit dem Urteil vom 11. Mai 2016 und um sein berufliches und persönliches Fortkommen nicht zu behindern, werden ihm die restlichen Verfahrenskosten in Anwendung von Art. 425 StPO antragsgemäss erlassen.</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