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SB.2014.70 vom 23. August 2017</w:t>
      </w:r>
    </w:p>
    <w:p>
      <w:r>
        <w:t>BS Appellationsgericht, 2017-08-23, DE</w:t>
      </w:r>
    </w:p>
    <w:p>
      <w:r>
        <w:rPr>
          <w:b/>
        </w:rPr>
        <w:t xml:space="preserve">Quelle: </w:t>
      </w:r>
      <w:r>
        <w:t>https://mcp.opencaselaw.ch/entscheid/bs_appellationsgericht_SB.2014.70</w:t>
      </w:r>
    </w:p>
    <w:p>
      <w:r>
        <w:t>FR: BS_APPELLATIONSGERICHT SB.2014.70 du 23 août 2017</w:t>
      </w:r>
    </w:p>
    <w:p>
      <w:r>
        <w:t>IT: BS_APPELLATIONSGERICHT SB.2014.70 del 23 agosto 2017</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SB.2014.28 vom 6. Februar 2017).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macht geltend, er sei infolge seiner Inhaftierung mittellos und werde im Falle einer Entlassung von der Sozialhilfe unterstützt werden müssen. Er hat jedoch keinerlei Belege zu seiner finanziellen Situation eingereicht bzw. allenfalls von seinem Rechtsvertreter einreichen lassen. Es wäre aber seine Obliegenheit, seine Mittellosigkeit zu beweisen, und auch ein Vorschlag zur ratenweisen Tilgung seiner Schuld müsste von ihm unterbreitet werden. Unter den gegebenen Umständen kommt ein Erlass der beiden Forderungen derzeit nicht in Frage.</w:t>
      </w:r>
    </w:p>
    <w:p>
      <w:r>
        <w:t>2.3Es liegt jedoch auf der Hand, dass der Gesuchsteller nicht in der Lage ist, die Forderungen zu begleichen, solange er sich in Untersuchungshaft befindet. Die Forderungen sind daher bis zu seiner Haftentlassung zu stunden.</w:t>
      </w:r>
    </w:p>
    <w:p>
      <w:r>
        <w:t>2.4Nach seiner Haftentlassung wird es dem Gesuchsteller frei stehen, dem Gericht ein erneutes Gesuch um Ratenzahlung und um Erlass der Forderungen zu stellen, wobei er seine Finanz- und Einkommensverhältnisse an Hand von entsprechenden Unterlagen (Schuldenverzeichnis, Mietkosten, Versicherungen, allenfalls Unterlagen zu den auf seinen Namen bzw. auf seine Firmen immatrikulierten Fahrzeugen, Zahlungen der Sozialhilfe etc.) darzulegen und dem Gericht einen sinnvollen Vorschlag betreffend Ratenzahlung zu unterbreiten bzw. ein allfälliges Erlassgesuch substantiiert zu begründen haben wird.</w:t>
      </w:r>
    </w:p>
    <w:p>
      <w:r>
        <w:rPr>
          <w:b/>
        </w:rPr>
        <w:t>E. 3</w:t>
      </w:r>
    </w:p>
    <w:p>
      <w:r>
        <w:t>Das Gesuchsverfahren ist kostenlos.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