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SB.2013.5 vom 20. Januar 2020</w:t>
      </w:r>
    </w:p>
    <w:p>
      <w:r>
        <w:t>BS Appellationsgericht, 2020-01-20, DE</w:t>
      </w:r>
    </w:p>
    <w:p>
      <w:r>
        <w:rPr>
          <w:b/>
        </w:rPr>
        <w:t xml:space="preserve">Quelle: </w:t>
      </w:r>
      <w:r>
        <w:t>https://mcp.opencaselaw.ch/entscheid/bs_appellationsgericht_SB.2013.5</w:t>
      </w:r>
    </w:p>
    <w:p>
      <w:r>
        <w:t>FR: BS_APPELLATIONSGERICHT SB.2013.5 du 20 janvier 2020</w:t>
      </w:r>
    </w:p>
    <w:p>
      <w:r>
        <w:t>IT: BS_APPELLATIONSGERICHT SB.2013.5 del 20 gennaio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rPr>
          <w:b/>
        </w:rPr>
        <w:t>E. 2</w:t>
      </w:r>
    </w:p>
    <w:p>
      <w:r>
        <w:t>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rPr>
          <w:b/>
        </w:rPr>
        <w:t>E. 3</w:t>
      </w:r>
    </w:p>
    <w:p>
      <w:r>
        <w:t>Auf sein Gesuch vom 10. September 2015 hin wurde dem Gesuchsteller antragsgemäss die Zahlung von monatlichen Raten von CHF 10. bewilligt (Präsidialverfügung vom 14. September 2015).</w:t>
      </w:r>
    </w:p>
    <w:p>
      <w:r>
        <w:t>Bis heute hat der Gesuchsteller insgesamt CHF 560. bezahlt. Seine Schuld von CHF 520. (Busse CHF 500. und Mahngebühr CHF 20.) wurde somit vollständig getilgt.</w:t>
      </w:r>
    </w:p>
    <w:p>
      <w:r>
        <w:t>Die Verfahrenskosten belaufen sich auf CHF 46'582.25. Daran sind die letzten vier Raten im Gesamtbetrag von CHF 40. anzurechnen. Der offene Rechnungsbetrag beläuft sich demnach noch auf CHF 46542.25.</w:t>
      </w:r>
    </w:p>
    <w:p>
      <w:r>
        <w:t>Der Gesuchsteller befindet sich weiterhin im Strafvollzug. Er hat die Busse bereits vollständig abbezahlt und danach vier weitere Einzelraten für Verfahrenskosten entrichtet. Es lasten zudem aus seiner Straftat herrührende Verbindlichkeiten auf ihm: Eine Schadenersatzpflicht von CHF 13'900. und eine Genugtuungspflicht von CHF 200000.. Da der Gesuchsteller seiner Pflicht zu Ratenzahlungen nachgekommen ist und im Hinblick auf einen Neubeginn finanziell nicht unnötig belastet werden soll, sind ihm die verbleibenden Schulden aus Verfahrens- und Gerichtskosten im Betrage von CHF 46542.25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