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SB.2013.109 vom 22. Januar 2016</w:t>
      </w:r>
    </w:p>
    <w:p>
      <w:r>
        <w:t>BS Appellationsgericht, 2016-01-22, DE</w:t>
      </w:r>
    </w:p>
    <w:p>
      <w:r>
        <w:rPr>
          <w:b/>
        </w:rPr>
        <w:t xml:space="preserve">Quelle: </w:t>
      </w:r>
      <w:r>
        <w:t>https://mcp.opencaselaw.ch/entscheid/bs_appellationsgericht_SB.2013.109</w:t>
      </w:r>
    </w:p>
    <w:p>
      <w:r>
        <w:t>FR: BS_APPELLATIONSGERICHT SB.2013.109 du 22 janvier 2016</w:t>
      </w:r>
    </w:p>
    <w:p>
      <w:r>
        <w:t>IT: BS_APPELLATIONSGERICHT SB.2013.109 del 22 gennaio 2016</w:t>
      </w:r>
    </w:p>
    <w:p>
      <w:pPr>
        <w:pStyle w:val="Heading2"/>
      </w:pPr>
      <w:r>
        <w:t>Erwägungen</w:t>
      </w:r>
    </w:p>
    <w:p>
      <w:r>
        <w:rPr>
          <w:b/>
        </w:rPr>
        <w:t>E. 12</w:t>
      </w:r>
    </w:p>
    <w:p>
      <w:r>
        <w:t>August 2013; SB.2011.68 vom 6. Mai 2013),</w:t>
      </w:r>
    </w:p>
    <w:p>
      <w:r>
        <w:t>underkennt:</w:t>
      </w:r>
    </w:p>
    <w:p>
      <w:r>
        <w:t>://:        Den Gesuchstellern werden die erst- und zweitinstanzlichen Verfahrenskosten im Verfahren ES.2013.326 und SB.2013.109, ausmachend total CHF 2101. für den Gesuchsteller  und CHF 1846. für die Gesuchstellerin, erlassen.</w:t>
      </w:r>
    </w:p>
    <w:p>
      <w:r>
        <w:t>Es werden keine Kosten erhoben.</w:t>
      </w:r>
    </w:p>
    <w:p>
      <w:r>
        <w:t>APPELLATIONSGERICHT BASEL-STADT</w:t>
      </w:r>
    </w:p>
    <w:p>
      <w:r>
        <w:t>Die Präsidentin                                                         Der Gerichtsschreiber</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