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SB.2011.34 vom 27. März 2014</w:t>
      </w:r>
    </w:p>
    <w:p>
      <w:r>
        <w:t>BS Appellationsgericht, 2014-03-27, DE</w:t>
      </w:r>
    </w:p>
    <w:p>
      <w:r>
        <w:rPr>
          <w:b/>
        </w:rPr>
        <w:t xml:space="preserve">Quelle: </w:t>
      </w:r>
      <w:r>
        <w:t>https://mcp.opencaselaw.ch/entscheid/bs_appellationsgericht_SB.2011.34</w:t>
      </w:r>
    </w:p>
    <w:p>
      <w:r>
        <w:t>FR: BS_APPELLATIONSGERICHT SB.2011.34 du 27 mars 2014</w:t>
      </w:r>
    </w:p>
    <w:p>
      <w:r>
        <w:t>IT: BS_APPELLATIONSGERICHT SB.2011.34 del 27 marzo 2014</w:t>
      </w:r>
    </w:p>
    <w:p>
      <w:pPr>
        <w:pStyle w:val="Heading2"/>
      </w:pPr>
      <w:r>
        <w:t>Erwägungen</w:t>
      </w:r>
    </w:p>
    <w:p>
      <w:r>
        <w:rPr>
          <w:b/>
        </w:rPr>
        <w:t>E. 6</w:t>
      </w:r>
    </w:p>
    <w:p>
      <w:r>
        <w:t>August 2013 erwogen hat, dass der Berufungskläger im Zeitpunkt, in welchem er in die D_____strasse einbog, mit einer Geschwindigkeit von 20 km/h unterwegs gewesen sei und ein Abstand von 11 Metern zum Fahrzeug von B_____ bestanden habe, was bei zwei auf trockener Strasse mit einer Geschwindigkeit von 20 km/h fahrenden Fahrzeigen grundsätzlich ausreichend sei,</w:t>
      </w:r>
    </w:p>
    <w:p>
      <w:r>
        <w:t>dass    der Berufungskläger vor B_____ aber in eine vortrittsberechtigte Strasse eingemündet sei, auf welcher zudem in wenigen Metern ein Fussgängerstreifen folgte, weshalb die Massstäbe des gewöhnlichen Hintereinanderfahrens nicht anwendbar seien,</w:t>
      </w:r>
    </w:p>
    <w:p>
      <w:r>
        <w:t>dass    dem Berufungskläger mithin die Missachtung des Vortritts von B_____ vorzuwerfen sei,</w:t>
      </w:r>
    </w:p>
    <w:p>
      <w:r>
        <w:t>dass    sich der Berufungskläger gegen seine Verurteilung mit Erfolg an das Bundesgericht gewendet hat,</w:t>
      </w:r>
    </w:p>
    <w:p>
      <w:r>
        <w:t>dass    das Bundesgericht in seinem Urteil vom 3. Februar 2014 festgehalten hat, dass der Berufungskläger mit einem Abstand von</w:t>
      </w:r>
    </w:p>
    <w:p>
      <w:r>
        <w:rPr>
          <w:b/>
        </w:rPr>
        <w:t>E. 11</w:t>
      </w:r>
    </w:p>
    <w:p>
      <w:r>
        <w:t>Metern bei einer Geschwindigkeit von 20 km/h den auf der D_____strasse fahrenden Personenwagen nicht in seiner Fahrt gehindert habe und ihm mithin keine Verletzung des Vortrittsrechts anzulasten sei (BGer 6B_930/2013 vom 3. Februar 2014 E. 2.4),</w:t>
      </w:r>
    </w:p>
    <w:p>
      <w:r>
        <w:t>dass    das Appellationsgericht im Rückweisungsverfahren an diese Erwägungen des Bundesgerichts gebunden ist,</w:t>
      </w:r>
    </w:p>
    <w:p>
      <w:r>
        <w:t>dass   deshalb der Berufungskläger vom Schuldspruch der einfachen Verletzung der Verkehrsregeln freizusprechen und das Urteil des Strafgerichts vom 29. April 2011 aufzuheben ist,</w:t>
      </w:r>
    </w:p>
    <w:p>
      <w:r>
        <w:t>dass    der Berufungskläger die Einleitung des Strafverfahrens gegen ihn weder rechtswidrig und schuldhaft bewirkt noch dieses erschwert hat, weshalb für beide Instanzen keine Verfahrenskosten zu erheben sind (Art. 426 Abs. 2 StPO),</w:t>
      </w:r>
    </w:p>
    <w:p>
      <w:r>
        <w:t>dass    er Anspruch auf eine Parteientschädigung für das erst- und zweitinstanzliche Verfahren hat (Art. 429 Abs. 1 lit a StPO),</w:t>
      </w:r>
    </w:p>
    <w:p>
      <w:r>
        <w:t>dass    diese aufgrund des angemessenen Aufwands gemäss Kostennote seines Verteidigers in Höhe von CHF 5'177.75 (inkl. Auslagen und MWST) festgesetzt wird,</w:t>
      </w:r>
    </w:p>
    <w:p>
      <w:r>
        <w:t>und erkennt, in Abänderung des erstinstanzlichen Urteils:</w:t>
      </w:r>
    </w:p>
    <w:p>
      <w:r>
        <w:t>://:        A_____ wird vom Schuldspruch des vorschriftwidrigen Motorfahrens (recte: der einfachen Verletzung der Verkehrsregeln) kostenlos freigesprochen.</w:t>
      </w:r>
    </w:p>
    <w:p>
      <w:r>
        <w:t>Das erstinstanzliche Urteil des Strafgerichts vom 29. April 2011 wird aufgehoben.</w:t>
      </w:r>
    </w:p>
    <w:p>
      <w:r>
        <w:t>Dem Verteidiger, [...], wird für das Verfahren vor erster und zweiter Instanz ein Honorar von CHF 5'177.75 (inkl. Auslagen und MWST) aus der Gerichtskasse zugesprochen.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