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SB.2011.16 vom 7. August 2015</w:t>
      </w:r>
    </w:p>
    <w:p>
      <w:r>
        <w:t>BS Appellationsgericht, 2015-08-07, DE</w:t>
      </w:r>
    </w:p>
    <w:p>
      <w:r>
        <w:rPr>
          <w:b/>
        </w:rPr>
        <w:t xml:space="preserve">Quelle: </w:t>
      </w:r>
      <w:r>
        <w:t>https://mcp.opencaselaw.ch/entscheid/bs_appellationsgericht_SB.2011.16</w:t>
      </w:r>
    </w:p>
    <w:p>
      <w:r>
        <w:t>FR: BS_APPELLATIONSGERICHT SB.2011.16 du 7 août 2015</w:t>
      </w:r>
    </w:p>
    <w:p>
      <w:r>
        <w:t>IT: BS_APPELLATIONSGERICHT SB.2011.16 del 7 agosto 2015</w:t>
      </w:r>
    </w:p>
    <w:p>
      <w:pPr>
        <w:pStyle w:val="Heading2"/>
      </w:pPr>
      <w:r>
        <w:t>Erwägungen</w:t>
      </w:r>
    </w:p>
    <w:p>
      <w:r>
        <w:rPr>
          <w:b/>
        </w:rPr>
        <w:t>E. 1</w:t>
      </w:r>
    </w:p>
    <w:p>
      <w:r>
        <w:t>Gemäss Art. 425 der Schweizerischen Strafprozessordnung (StPO) können Forderungen aus Verfahrenskosten unter bestimmten Voraussetzungen gestundet, herabgesetzt oder erlassen werden. Zuständig für diesen Entscheid ist nach der genannten Bestimmung die Strafbehörde. Die Kantone können auch anderen Behörden die Befugnis zur Stundung oder zum Erlass von Kosten einräumen (Domeisen, in: Basler Kommentar zur Strafprozessordnung, 2. Auflage, Basel 2014, Art. 425 N 2). Im Kanton Basel-Stadt fehlt indessen bis anhin eine entsprechende Regelung. Gesuche um Stundung, Herabsetzung oder Erlass von Verfahrenskosten sind daher von dem Gericht zu entscheiden, welches als letzte kantonale Instanz über die Tragung der Verfahrenskosten entschieden hat, und zwar auch bezüglich der erstinstanzlichen Kosten (AGE SB.2013.53 vom 24. April 2015, SB.2013.22 vom 9. April 2015). Im vorliegenden Fall ist dies der Ausschuss des Appellationsgerichts.</w:t>
      </w:r>
    </w:p>
    <w:p>
      <w:r>
        <w:rPr>
          <w:b/>
        </w:rPr>
        <w:t>E. 2</w:t>
      </w:r>
    </w:p>
    <w:p>
      <w:r>
        <w:t>Das Appellationsgericht hat im Urteil vom 9. November 2012 (E. 7.2) errechnet, dass dem Gesuchsteller  ausgehend von seinem erweiterten betreibungsrechtlichen Existenzminimum  eine monatliche frei verfügbare Quote von CHF 2000. vor Steuern verbleibt. Zudem hat es festgestellt, dass seine verfügbare Quote vor seiner Scheidung Anfang November 2012 weit höher gewesen sei, da er am hohen Einkommen seiner Frau partizipiert habe. Der Gesuchsteller bestreitet diese Feststellungen nicht. Er macht auch keine unverschuldete Verschlechterung seiner finanziellen Lage seit November 2012 geltend. Unter diesen Umständen ist es ihm zuzumuten  und wäre es ihm seit Eröffnung des Urteils vom 9. November 2012 zuzumuten gewesen , monatliche Ratenzahlungen in Höhe seiner verfügbaren Quote von CHF 2000. zu leisten resp. zur Seite zu legen. In diesem Umfang sind daher Ratenzahlungen zu bewilligen. Sein darüber hinaus gehendes Begehren ist abzuweisen. Beim Ausbleiben einer Rate wird die ganze Schuld sofort 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