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KE.2023.32 vom 10. April 2024</w:t>
      </w:r>
    </w:p>
    <w:p>
      <w:r>
        <w:t>BS Appellationsgericht, 2024-04-10, DE</w:t>
      </w:r>
    </w:p>
    <w:p>
      <w:r>
        <w:rPr>
          <w:b/>
        </w:rPr>
        <w:t xml:space="preserve">Quelle: </w:t>
      </w:r>
      <w:r>
        <w:t>https://mcp.opencaselaw.ch/entscheid/bs_appellationsgericht_KE.2023.32</w:t>
      </w:r>
    </w:p>
    <w:p>
      <w:r>
        <w:t>FR: BS_APPELLATIONSGERICHT KE.2023.32 du 10 avril 2024</w:t>
      </w:r>
    </w:p>
    <w:p>
      <w:r>
        <w:t>IT: BS_APPELLATIONSGERICHT KE.2023.32 del 10 aprile 2024</w:t>
      </w:r>
    </w:p>
    <w:p>
      <w:pPr>
        <w:pStyle w:val="Heading2"/>
      </w:pPr>
      <w:r>
        <w:t>Erwägungen</w:t>
      </w:r>
    </w:p>
    <w:p>
      <w:r>
        <w:rPr>
          <w:b/>
        </w:rPr>
        <w:t>E. 1</w:t>
      </w:r>
    </w:p>
    <w:p>
      <w:r>
        <w:t>1.1Gegen Entscheide der Kindesschutzbehörde kann gemäss Art. 450 Abs. 1 in Verbindung mit Art. 440 Abs. 3 und 314 Abs. 1 ZGB sowie § 17 Abs. 1 des kantonalen Kindes- und Erwachsenenschutzgesetzes (KESG, SG 212.400) Beschwerde an das Verwaltungsgericht geführt werden. Zuständig zur Beurteilung der Beschwerde gegen den eine Kindesschutzmassnahme betreffenden Entscheid ist das Dreiergericht (§ 92 Abs. 1 Ziff. 10 des Gerichtsorganisationsgesetzes [GOG, SG 154.100]).</w:t>
      </w:r>
    </w:p>
    <w:p>
      <w:r>
        <w:t>1.2Für das Verfahren ist gemäss § 19 Abs. 1 KESG das Verwaltungsrechtspflegegesetz (VRPG, SG 270.100) anwendbar; zudem enthält auch das Bundesrecht Bestimmungen zum Verfahren (vgl. Art. 314 Abs. 1 in Verbindung mit Art. 450 ff. ZGB). Subsidiär gilt nach Art. 450f ZGB die Schweizerische Zivilprozessordnung (ZPO, SR 272). Es gelten dabei mit Bezug auf die Regelung von Kinderbelangen auch im verwaltungsgerichtlichen Verfahren die Offizialmaxime und der Untersuchungsgrundsatz (Art. 296 ZPO). Die Kognition des Verwaltungsgerichts richtet sich nach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 (VGE VD.2022.74 vom 14. Juni 2022 E. 1.2). Dem Verwaltungsgericht als Beschwerdeinstanz kommt mithin freie Kognition zu (Droese, in: Basler Kommentar, 7. Auflage, Basel 2022, Art. 450a ZGB N 4, 9). Dennoch ist es angebracht, dass sich das Verwaltungsgericht eine gewisse Zurückhaltung auferlegt, wo es der besonderen Erfahrung und dem Fachwissen der Kindesschutzbehörde als Vorinstanz Rechnung zu tragen gilt (VGE VD.2020.69 vom 8. Oktober 2020 E. 1.4). Das Verwaltungsgericht überprüft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 2. Mai 2017, VD.2016.62 vom 30. September 2016), sodass grundsätzlich auch im Kindes- und Erwachsenenschutzrecht das sogenannte Rügeprinzip gilt (VGE VD.2017.23 vom 2. Mai 2017, VD.2016.158 vom 12. April 2017). An die Begründung sind jedoch  insbesondere bei nicht anwaltlich vertretenen Laien  keine hohen Anforderungen zu stellen. Es genügt, wenn aus der Beschwerde hinreichend klar hervorgeht, wogegen sie sich richtet und weshalb die beschwerdeführende Person in diesem Punkt nicht einverstanden ist (Droese, a.a.O., Art. 450 ZGB N 42, mit Hinweisen).</w:t>
      </w:r>
    </w:p>
    <w:p>
      <w:r>
        <w:t>1.3Als Adressat des angefochtenen Entscheids und sorgeberechtigter Vater von B____ ist der Beschwerdeführer durch den Entscheid unmittelbar betroffen und nach Art. 450 Abs. 2 Ziff. 1 in Verbindung mit Art. 314 Abs. 1 ZGB zur Beschwerde befugt. Auf die rechtzeitig erhobene und begründete Beschwerde ist somit einzutreten.</w:t>
      </w:r>
    </w:p>
    <w:p>
      <w:r>
        <w:t>3.3.3Nachvollziehbar ist weiter auch, dass eine solche Platzierung auf längere Dauer angelegt werden müsste, um auf B____ nachhaltig einwirken zu können. Es ist nicht nachvollziehbar, wie aufgrund des chronifizierten Verlaufs mit einer Fremdplatzierung bei B____ bereits nach kurzer Zeit eine wesentliche Veränderung ihrer Einstellungen bezüglich des Familiensystems erreicht werden können soll. Hinzu kommt, dass suggerierte Missbrauchsvorwürfe, die nicht hinterfragbar sind, psychotherapeutisch sehr schwierig aufzuarbeiten sind, da sich verfestigte Ängste und nicht hinterfragbare kognitive Konstrukte ohne reale Basis kaum beeinflussen lassen (vgl. VGE VD.2018.86 vom 28. November 2018 E. 6.2.4.7 mit weiteren Hinweisen aufMaag, in: Ludewig/Baumer/Tavor [Hrsg.], Aussagepsychologie für die Rechtspraxis, Zürich 2017, S. 489). Es kann daher entgegen der Auffassung des Beschwerdeführers nicht davon gesprochen werden, dass mit einem zeitweiligen «Time-Out» eine nachhaltige Veränderung bei B____ erreicht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