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HB.2024.18 vom 17. September 2024</w:t>
      </w:r>
    </w:p>
    <w:p>
      <w:r>
        <w:t>BS Appellationsgericht, 2024-09-17, DE</w:t>
      </w:r>
    </w:p>
    <w:p>
      <w:r>
        <w:rPr>
          <w:b/>
        </w:rPr>
        <w:t xml:space="preserve">Quelle: </w:t>
      </w:r>
      <w:r>
        <w:t>https://mcp.opencaselaw.ch/entscheid/bs_appellationsgericht_HB.2024.18</w:t>
      </w:r>
    </w:p>
    <w:p>
      <w:r>
        <w:t>FR: BS_APPELLATIONSGERICHT HB.2024.18 du 17 septembre 2024</w:t>
      </w:r>
    </w:p>
    <w:p>
      <w:r>
        <w:t>IT: BS_APPELLATIONSGERICHT HB.2024.18 del 17 settembre 2024</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(sog. Ausführungsgefahr; Art. 221 Abs. 2 StPO). Bei Vorliegen von Ausführungsgefahr wird für die Anordnung der Haft ein dringender Tatverdacht nicht zwingend vorausgesetzt (Frei/Zuberbühler Elsässer,in: Donatsch et al. [Hrsg.], Kommentar zur Schweizerischen Strafprozessordnung, 3. Auflage, Zürich 2020, Art. 221 N 4, 41;Forster,in: Basler Kommentar, 3. Auflage 2023, Art. 221 N 16;Gfeller/Bigler/Bonin, Untersuchungshaft, ein Leitfaden für die Praxis, Zürich 2017, Rz. 562 f.). Die Haft muss überdies verhältnismässig sein. Sie ist aufzuheben, sobald Ersatzmassnahmen zum gleichen Ziel führen (Art. 197 Abs. 1 lit. c, Art. 212 Abs. 2 lit. c StPO) und darf nicht länger dauern als die zu erwartende Freiheitsstrafe (Art. 212 Abs. 3 StPO; vgl.Weder,in: Donatsch et al. [Hrsg.], Kommentar zur Schweizerischen Strafprozessordnung, 3. Auflage, Zürich 2020, Art. 212 N 24, mit Hinweisen zum Spezialfall, dass im Falle der Ausführungsgefahr kein Konnex zu einer laufenden Strafuntersuchung besteht).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HB.2022.66 vom 3. Januar 2023 E. 3.1, HB.2022.67 vom 29. Dezember 2022 E. 2.2).</w:t>
      </w:r>
    </w:p>
    <w:p>
      <w:r>
        <w:t>3.2Die Vorinstanz hat das Vorliegen eines dringenden Tatverdachts ausführlich und überzeugend begründet (angefochtene Verfügung S. 2 f.). Der dringende Tatverdacht ergibt sich in erster Linie aus dem in der Rapportierung aufgeführten Telefongespräch, wenn auch einschränkend anzumerken ist, dass es sich lediglich um vermittelte Aussagen handelt (vgl. Akten Staatsanwaltschaft S. 230 ff.). Der Beschwerdeführer hat überdies eine Notiz verfasst, in der die B____ erwähnt wird und folgende Äusserung enthalten ist: «du bist Tot in max 1-ner Std! for have time Testament» (Akten Staatsanwaltschaft S. 154). Weitergehende Ausführungen zum Tatverdacht erübrigen sich, zumal sich die angeordnete Haft auf den Haftgrund der Ausführungsgefahr (Art. 221 Abs. 2 StPO) stützt, für den das Vorliegen eines Tatverdachts keine zwingende Voraussetzung darstellt (vgl. oben E. 2).</w:t>
      </w:r>
    </w:p>
    <w:p>
      <w:r>
        <w:rPr>
          <w:b/>
        </w:rPr>
        <w:t>E. 4</w:t>
      </w:r>
    </w:p>
    <w:p>
      <w:r>
        <w:t>4.1Ausführungsgefahr gemäss Art. 221 Abs. 2 StPO liegt vor, wenn ernsthaft zu befürchten ist, eine Person werde ihre Drohung, ein schweres Verbrechen auszuführen, wahrmachen.  Die Drohung, ein schweres Verbrechen auszuführen, kann auch konkludent erfolgen (Forster, in: Basler Kommentar StPO, 3. Auflage 2023, Art. 221 N 18). Erforderlich ist eine sehr ungünstige Risikoprognose. Die Wahrscheinlichkeit einer Ausführung muss aufgrund einer Gesamtbewertung der persönlichen Verhältnisse sowie der Umstände als sehr hoch erscheinen. Besonders bei drohenden schweren Gewaltverbrechen ist dabei auch dem psychischen Zustand der verdächtigen Personen bzw. ihrer Unberechenbarkeit oder Aggressivität Rechnung zu tragen (BGE 137 IV 122 E. 5.2, 123 I 268 E. 2e). Bei einer befürchteten versuchten Tötung darf an die Annahme der Ausführungsgefahr kein allzu hoher Massstab angelegt werden. Anders zu entscheiden hiesse, das potenzielle Opfer einem nicht verantwortbaren Risiko auszusetzen (BGE 123 I 268 E. 2e; BGer 1B_432/2022 vom 8. September 2022 E. 2a;Frei/Zuberbühler Elsässer, a.a.O., Art. 221 N 44).</w:t>
      </w:r>
    </w:p>
    <w:p>
      <w:r>
        <w:rPr>
          <w:b/>
        </w:rPr>
        <w:t>E. 4.2</w:t>
      </w:r>
    </w:p>
    <w:p>
      <w:r>
        <w:t>4.2.1Es bestehen diverse Hinweise darauf, dass der Beschwerdeführer psychisch krank sein könnte. Dies sind zum einen die äusserst wirren Schriftstücke, die in seiner Wohnung gefunden wurden (vgl. Akten Staatsanwaltschaft S. 45 ff.). Weiter hat der Beschwerdeführer gegenüber der Polizei offenbar von Raumschiffen, einer Atombombe und Parallelwelten gesprochen (vgl. Aktennotiz DK [...] vom 14. September 2024 [Akten Staatsanwaltschaft S. 250]). Ferner ist bekannt, dass der Beschwerdeführer verbeiständet ist und Medikamente einnimmt (vgl. Beschwerde S. 2 [Akten S. 9]; Akten Staatsanwaltschaft S. 174). Er selbst gibt an, an Schizophrenie zu leiden (Akten Staatsanwaltschaft S. 173, 176), was auch mit der Einschätzung der medizinischen Dienste des Untersuchungsgefängnisses Waaghof im Einklang steht (Akten Staatsanwaltschaft S. 109). Offenbar hat der Beschwerdeführer auch in Haft Gewaltfantasien geäussert (Akten Staatsanwaltschaft S. 109). Nach Erhöhung der Dosis der Medikation des Beschwerdeführers habe sich sein Zustand jedoch verbessert und seien wenig wahnhafte Gedanken erkennbar gewesen (Akten Staatsanwaltschaft S. 110)</w:t>
      </w:r>
    </w:p>
    <w:p>
      <w:r>
        <w:t>4.2.2Trotz der während der Haft offenbar eingetretenen Verminderung der wahnhaften Zustände erscheint der Beschwerdeführer aufgrund der gesamten Umstände in seinem derzeitigen Zustand unberechenbar. Dass bei ihm nicht bloss Gewaltfantasien vorliegen, sondern er auch zur Tat zu schreiten in der Lage ist, ist aufgrund einer Verurteilung wegen Mordes belegt (begangen im Zustand der Schuldunfähigkeit; Akten Staatsanwaltschaft S. 5). Angesichts der Schwere der mutmasslich angedrohten Gewalttaten und der ohne psychiatrische Begutachtung schwierigen Risikoeinschätzung ist derzeit mit dem Zwangsmassnahmengericht der Haftgrund der Ausführungsgefahr zu bejahen. Es muss ernsthaft befürchtet werden, dass der Beschwerdeführer eine schwere Gewalttat ausführt.</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13. September 2023 in Haft. Er hat im Falle eines Schuldspruchs wegen Drohung mit einer Strafe bzw. je nach Ergebnis einer psychiatrischen Begutachtung mit einer Massnahme zu rechnen, welche die vorläufig und erstmalig angeordnete Untersuchungshaft von insgesamt zwölf Wochen deutlich übersteigen wird. Es droht damit unter den genannten Umständen derzeit keine Überhaft.</w:t>
      </w:r>
    </w:p>
    <w:p>
      <w:r>
        <w:t>5.3Wie vorstehend ausgeführt wurde, bestehen erhebliche Zweifel an der psychischen Gesundheit des Beschwerdeführers. Um seine Gefährlichkeit und das Risiko weiterer schwerer Gewaltdelikte fundiert feststellen zu können, erscheint es zwingend notwendig, dass möglichst bald ein psychiatrisches Gutachten über ihn in Auftrag gegeben wird.</w:t>
      </w:r>
    </w:p>
    <w:p>
      <w:r>
        <w:t>5.4Solange die Gefährlichkeit des Beschwerdeführers und das Risiko schwerer Gewaltdelikte nicht gutachterlich geklärt sind, erscheinen Ersatzmassnahmen wie z.B. ein Rayon- oder Kontaktverbot nicht geeignet, die Ausführungsgefahr zu bannen.</w:t>
      </w:r>
    </w:p>
    <w:p>
      <w:r>
        <w:rPr>
          <w:b/>
        </w:rPr>
        <w:t>E. 6</w:t>
      </w:r>
    </w:p>
    <w:p>
      <w:r>
        <w:t>Aus dem Gesagten ergibt sich, dass die Beschwerde abzuweisen ist. Bei diesem Ausgang des Verfahrens hätte der Beschwerdeführer grundsätzlich dessen ordentliche Kosten zu tragen (Art. 428 Abs. 1 StPO). Auf die Auferlegung einer Gebühr wird indessen ausnahmsweise umständehalber verzichtet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