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HB.2024.1 vom 30. Januar 2024</w:t>
      </w:r>
    </w:p>
    <w:p>
      <w:r>
        <w:t>BS Appellationsgericht, 2024-01-30, DE</w:t>
      </w:r>
    </w:p>
    <w:p>
      <w:r>
        <w:rPr>
          <w:b/>
        </w:rPr>
        <w:t xml:space="preserve">Quelle: </w:t>
      </w:r>
      <w:r>
        <w:t>https://mcp.opencaselaw.ch/entscheid/bs_appellationsgericht_HB.2024.1</w:t>
      </w:r>
    </w:p>
    <w:p>
      <w:r>
        <w:t>FR: BS_APPELLATIONSGERICHT HB.2024.1 du 30 janvier 2024</w:t>
      </w:r>
    </w:p>
    <w:p>
      <w:r>
        <w:t>IT: BS_APPELLATIONSGERICHT HB.2024.1 del 30 gennaio 2024</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und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Die Herstellung von Kinderpornografie ist zugestanden. Bezüglich der Vorwürfe der Vergewaltigung und sexuellen Nötigung ist dokumentiert, dass der Beschwerdeführer in einer Whatsapp-Audionachricht sagte: «Und ausserdem  wie gestern am Sonntag da war ich sofort spitz  ja, ich bin  zu dir gekommen und wir haben sofort gevögelt, du wolltest ja nicht, du hast dich ja, da halb tot gestellt ...» (Ordner 5, Zusammenfassung Whatsapp-Chatverlauf, S. 10). Ein dringender Tatverdacht hinsichtlich dieser Delikte liegt damit vor.</w:t>
      </w:r>
    </w:p>
    <w:p>
      <w:r>
        <w:rPr>
          <w:b/>
        </w:rPr>
        <w:t>E. 4</w:t>
      </w:r>
    </w:p>
    <w:p>
      <w:r>
        <w:t>Der Beschwerdeführer bringt vor, die Vorinstanz habe die Haftgründe der Fluchtgefahr, Kollusionsgefahr und Wiederholungsgefahr zu Unrecht bejaht.</w:t>
      </w:r>
    </w:p>
    <w:p>
      <w:r>
        <w:rPr>
          <w:b/>
        </w:rPr>
        <w:t>E. 4.1</w:t>
      </w:r>
    </w:p>
    <w:p>
      <w:r>
        <w:t>4.1.1Fluchtgefahr liegt gemäss Art. 221 Abs. 1 lit. a StPO dann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(BGer 1B_364/2017 vom 12. September 2017 E. 2.2, 1B_283/2016 vom 26. August 2016;Forster, in: Basler Kommentar StPO, 3. Auflage 2023, Art. 221 N 5).</w:t>
      </w:r>
    </w:p>
    <w:p>
      <w:r>
        <w:t>4.1.2Die Vorinstanz erwog, dem Beschwerdeführer sei in der Zwischenzeit seine Arbeitsstelle bei der [...] gekündigt worden. Seine Ex-Frau und die beiden gemeinsamen Kinder hätten den Kontakt zu ihm abgebrochen. Auch B____ wolle keinen Kontakt mehr zu ihm. Dem aus Deutschland stammenden Beschuldigten fehlten deshalb gefestigte Bindungen in der Schweiz, die ihn an einem Weggang ins Ausland hindern könnten. Ihm würden ausserdem schwerwiegende Delikte vorgeworfen, weshalb ihm bei einer Verurteilung eine nicht unerhebliche Strafe drohe. Zudem bestünde die Möglichkeit eines Landesverweises. Ausserdem scheine der Beschwerdeführer Kontakte ins Ausland zu pflegen. Es sei deshalb zu befürchten, dass sich der Beschwerdeführer bei einer Entlassung ins Ausland absetzen würde und für die Strafbehörden nicht mehr verfügbar wäre.</w:t>
      </w:r>
    </w:p>
    <w:p>
      <w:r>
        <w:t>4.1.3Der Beschwerdeführer wendet dagegen ein, er pflege eine gute Beziehung zu seinen Kindern und unternehme regelmässige Aktivitäten mit ihnen. Jedes Jahr gingen sie ausserdem zusammen in die Skiferien. Seiner Tochter helfe er bei der Vorbereitung auf die Führerscheinprüfung. Beide Kinder besuchten ihn oft in Basel, wo auch Fahrräder für sie bereitstehen würden. Obwohl seine Ex-Frau neuerdings den Kontakt mit ihm abgebrochen habe, hätten seine Kinder ihm unabhängig voneinander geschrieben. Er möchte weiterhin im Leben der Kinder präsent sein.</w:t>
      </w:r>
    </w:p>
    <w:p>
      <w:r>
        <w:t>4.1.4Die Auffassung des Zwangsmassnahmengerichts ist zutreffend. Aufgrund der beruflichen Situation, der sozialen Isolierung sowie der dem Beschwerdeführer drohenden Strafe und seiner Kontakte ins Ausland besteht nach seiner gesamten Lebenssituation eine gewisse Wahrscheinlichkeit, dass er sich, wenn er in Freiheit wäre, der Strafverfolgung und dem Vollzug der Strafe durch Flucht entziehen würde.</w:t>
      </w:r>
    </w:p>
    <w:p>
      <w:r>
        <w:rPr>
          <w:b/>
        </w:rPr>
        <w:t>E. 4.2</w:t>
      </w:r>
    </w:p>
    <w:p>
      <w:r>
        <w:t>4.2.1Kollusionsgefahr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Bundesgerichtes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1B_15/2023 vom 24. Januar 2023 E. 3.1, 1B_149/2015 vom 13. Mai 2015 E. 2.4, 1B_388/2012 vom 19. Juli 2012 E. 2.4, 1B_207/2008 vom 11. August 2008 E. 4.2, 1B_44/2008 vom 13. März 2008 E. 5.1).</w:t>
      </w:r>
    </w:p>
    <w:p>
      <w:r>
        <w:t>4.2.2Die Vorinstanz erwog diesbezüglich, es sei nicht von der Hand zu weisen, dass der Beschuldigte bei einer Entlassung versuchen würde, B____ zu kontaktieren, um sie bezüglich ihres künftigen Aussageverhaltens zu seinen Gunsten zu beeinflussen. Ein Kontaktverbot erscheine angesichts der schweren Belastungen zum jetzigen Zeitpunkt nicht ausreichend, um ihn davon abzuhalten.</w:t>
      </w:r>
    </w:p>
    <w:p>
      <w:r>
        <w:t>4.2.3Der Beschwerdeführer erklärt, es sei ihm klar, dass, wenn er aus der Haft käme und Kontakt zu B____ aufnehmen würde, wieder in Haft versetzt würde.</w:t>
      </w:r>
    </w:p>
    <w:p>
      <w:r>
        <w:t>Weiter führt er aus, im Frühling in den getrennten Ferien hätten sie versucht, ohne Kontakt auszukommen. Sie hätten dies durchgezogen, aber sofort wieder Kontakt gehabt, als sie wieder in Basel gewesen seien (Beschwerde S. 3). «Hoffnung, dass wir irgendwann wieder zusammen sein können, hatte ich immer» (Beschwerde S. 4). Aufgrund des polizeilichen Zugriffs sei er von ihr «weggerissen worden», er habe ihr seither nur noch schreiben können (Beschwerde S. 4). Ihm sei dann mitgeteilt worden, dass B____ keinen Kontakt mehr wünsche. Er frage sich, was geschehen sei und mit welcher Vorgehensweise die Einvernahme mit ihr durchgeführt worden sei. Er verstehe, dass die Staatsanwaltschaft keinen Kontakt zwischen ihm und B____ wünsche, da ansonsten eine «Art und Weise ans Licht kommen könnte» (Beschwerde S. 4).</w:t>
      </w:r>
    </w:p>
    <w:p>
      <w:r>
        <w:t>Die Ausführungen des Beschwerdeführers weisen darauf hin, dass er den Kontaktabbruch mit B____ nicht hinnehmen kann. Einerseits gibt er an, nach wie vor starke Gefühle für sie zu hegen, andererseits hat er offenbar den Eindruck, dass B____ ihn mit ihren Aussagen belastet hat, da sie von der Staatsanwaltschaft mit fragwürdigen Methoden dazu gebracht worden sei. Es erscheint deshalb realistisch, dass er nach einer Haftentlassung mit ihr Kontakt aufnehmen würde, um ihr seine Sicht der Dinge darzulegen und sie dazu zu bringen, zu seinen Gunsten auszusagen. Dies gilt umso mehr als B____ den Beschwerdeführer als äusserst manipulativen Menschen beschreibt, dem es immer wieder gelinge, den Spiess umzukehren und sie für sich zu gewinnen (vgl. Ordner 5, Zusammenfassung WhatsApp-Chatverlauf, S. 11 f., 16, 48). Die Kollusionsgefahr ist zu bejahen.</w:t>
      </w:r>
    </w:p>
    <w:p>
      <w:r>
        <w:rPr>
          <w:b/>
        </w:rPr>
        <w:t>E. 4.3</w:t>
      </w:r>
    </w:p>
    <w:p>
      <w:r>
        <w:t>4.3.1Wiederholungsgefahr im Sinne von Art. 221 Abs. 1 lit. c StPO liegt vor, wenn ernsthaft zu befürchten ist, dass die beschuldigte Person durch schwere Verbrechen oder Vergehen die Sicherheit anderer erheblich gefährdet, nachdem sie bereits früher gleichartige Straftaten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146 IV 136 E. 2.2, BGE 143 IV 9 E. 2.2, je mit Hinweisen; BGer 1B_6/2020 vom 29. Januar 2020 E. 2.2; vgl. auchMicheroli/Tag, Anmerkungen zu aktuellen Entwicklungen im Haftrecht, in: Jusletter 16. Mai 2022 N 68 ff.). Nach dem Gesetz sind für das Vorliegen von Wiederholungsgefahr folgende Elemente konstitutiv: Der Beschuldigte muss bereits früher mindestens zwei gleichartige Straftaten begangen haben, welche schon rechtskräftig beurteilt wurden (insofern wird die Praxis des Bundesgerichts, welche zuletzt eine einzige abgeurteilte Vortat genügen liess, durch die revidierte Strafprozessordnung verschärft [Coninx/Studer, Revision des Haftrechts, in: Geth [Hrsg.], Die revidierte Strafprozessordnung, Basel 2023, S. 114 N 4.24, mit Hinweis auf die Botschaft StPO 2019 S. 6743]). Weiter müssen schwere Vergehen oder Verbrechen drohen. Zudem muss hierdurch die Sicherheit anderer erheblich gefährdet sein. Der Haftgrund der Wiederholungsgefahr ist restriktiv zu handhaben und setzt eine ungünstige Rückfallprognose voraus (BGer 1B_43/2022 vom 28. Februar 2022 E. 2.2 mit Hinweis auf BGE 143 IV 9 E. 2.2).</w:t>
      </w:r>
    </w:p>
    <w:p>
      <w:r>
        <w:t>Die Gefährdung der Sicherheit anderer durch drohende Verbrechen oder schwere Vergehen kann sich nach der Bundesgerichtspraxis grundsätzlich auf Rechtsgüter jeder Art beziehen. Im Vordergrund stehen allerdings Delikte gegen die körperliche und sexuelle Integrität. In der Vergangenheit hat das Bundesgericht die Sicherheitsrelevanz bei drohendem Konsum von realer Kinderpornografie bejaht (BGer 1B_189/2018 vom 2. Mai 2018 E. 3.3).</w:t>
      </w:r>
    </w:p>
    <w:p>
      <w:r>
        <w:t>4.3.2Die Vorinstanz erwog, die Wiederholungsgefahr werde von der Verteidigung grundsätzlich nicht in Abrede gestellt, weshalb auf die Ausführungen im Haftverlängerungsgesuch der Staatanwaltschaft vom 15. Dezember 2023 sowie auf die Verfügung des Zwangsmassnahmengerichts vom 27. Oktober 2023 verwiesen werden könne. Das Verhalten des Beschwerdeführers zeige gemäss aktueller Verdachtslage eine Steigerung hinsichtlich der Schwere der Sexualdelikte. Ein forensisch-psychiatrisches Gutachten bezüglich der Einschätzung der Rückfallgefahr und einer geeigneten Behandlung bzw. Massnahme sei noch ausstehend. Derzeit wäre es verfrüht, den Beschwerdeführer in ein ambulantes Setting zu entlassen, zumal er dieses jederzeit abbrechen könnte. Es bedürfe nach wie vor der Haft, um der Wiederholungsgefahr begegnen zu können.</w:t>
      </w:r>
    </w:p>
    <w:p>
      <w:r>
        <w:rPr>
          <w:b/>
        </w:rPr>
        <w:t>E. 4.3.3</w:t>
      </w:r>
    </w:p>
    <w:p>
      <w:r>
        <w:t>4.3.3.1Der Beschwerdeführer ist vorbestrafter Sexualstraftäter. Er wurde am 6. Mai 2014 wegen mehrfacher sexueller Handlungen mit Kindern, mehrfacher sexueller Handlungen mit Anstaltspfleglingen und versuchter sexueller Handlungen mit einem Kind verurteilt. Das Vortatenerfordernis ist damit erfüllt. Dass die Verurteilung wegen mehrerer gleichartiger Straftaten in einem einzigen Urteil erfolgte, steht dem nicht entgegen.</w:t>
      </w:r>
    </w:p>
    <w:p>
      <w:r>
        <w:t>4.3.3.2Weiter müssen schwere Vergehen oder Verbrechen drohen, durch die die Sicherheit anderer erheblich gefährdet ist. Als schwere Vergehen sind haftrechtlich jene Delikte zu betrachten, bei denen im konkreten Fall nicht ausschliesslich eine Geldstrafe droht, sondern eine Freiheitsstrafe bis zu drei Jahren (Forster, in: Basler Kommentar StPO, 3. Auflage 2023, Art. 221 N 10a). Zu unterscheiden ist vorliegend zwischen dem Konsum und der Herstellung von Kinderpornografie und realen sexuellen Handlungen mit Kindern.</w:t>
      </w:r>
    </w:p>
    <w:p>
      <w:r>
        <w:t>Beim Vorwurf der Kinderpornografie handelt es sich um ein schweres Vergehen, zumal eine enorme Menge an sichergestelltem Bildmaterial vorliegt und es auch um die selbständige Herstellung von Pornografie geht. Besorgniserregend ist insbesondere, dass das sichergestellte Material zum Teil auch Abbildungen gefesselter bzw. in Handschellen gelegter Kinder enthält (Ordner 3, Auswertungsbericht vom 13. Dezember 2022). Durch den Konsum von Kinderpornografie unterstützt der Beschuldigte die sexuelle Ausbeutung von Kindern. Dadurch wird ihre Sicherheit erheblich gefährdet (vgl. BGer 1B_189/2018 vom 2. Mai 2018 E. 3.3).</w:t>
      </w:r>
    </w:p>
    <w:p>
      <w:r>
        <w:t>Anzumerken ist auch, dass der Beschwerdeführer Bilder von Kindern, denen er sich in der Region Basel angenähert hat, derart bearbeitet, dass es so aussieht, als würde er sich an diesen Kindern vergehen. Aufgrund des starken Realitätsbezugs derartiger kinderpornografischer Erzeugnisse ist auch von einer ernstlichen Sicherheitsgefährdung durch den Beschwerdeführer aufgrund sexueller Handlungen mit Kindern auszugehen. Auch dabei handelt es sich mindestens um schwere Vergehen.</w:t>
      </w:r>
    </w:p>
    <w:p>
      <w:r>
        <w:t>4.3.3.3Schliesslich gilt es anhand einer Rückfallprognose zu beurteilen, ob eine Tatwiederholung ernsthaft zu befürchten ist. In Bezug auf den Tatbestand der Pornografie ist ein Rückfall aufgrund des zugestandenen massiven Konsums des Beschwerdeführers, den er selbst nach der ersten Festnahme am 29. März 2022 fortführte (vgl. Einvernahme vom 7. Dezember 2023, 17 ff.), ernsthaft zu befürchten. Auch die künftige Vornahme realer sexueller Handlungen an Kindern erscheint nicht unwahrscheinlich, zumal sich der Beschwerdeführer wiederholt Kindern annähert und diese Begegnungen filmisch festhält, wobei es bislang allerdings keine Hinweise auf reale Übergriffe gibt. Nichtsdestotrotz ist ein Rückfall des Beschwerdeführers zum jetzigen Zeitpunkt ernsthaft zu befürchten. Der Vorinstanz ist zuzustimmen, dass es zur genaueren Abklärung dieses Risikos eines forensisch-psychiatrischen Gutachtens bedarf.</w:t>
      </w:r>
    </w:p>
    <w:p>
      <w:r>
        <w:t>4.4Im Sinne eines Zwischenfazits ist festzuhalten, dass die Haftgründe der Fluchtgefahr, Kollusionsgefahr und Wiederholungsgefahr gegeben sind.</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rPr>
          <w:b/>
        </w:rPr>
        <w:t>E. 5.2</w:t>
      </w:r>
    </w:p>
    <w:p>
      <w:r>
        <w:t>5.2.1Aufgrund der zur Diskussion stehenden Straftatbestände und der Vielzahl der dem Beschwerdeführer vorgeworfenen Delikte hat er im Falle von Schuldsprüchen mit einer Strafe zu rechnen, welche die seit dem 25. Oktober 2023 bis voraussichtlich 15. März 2024 dauernde Untersuchungshaft bei weitem übersteigen dürfte. Es droht damit keine Überhaft.</w:t>
      </w:r>
    </w:p>
    <w:p>
      <w:r>
        <w:t>5.2.2Der Beschwerdeführer beantragt sinngemäss als Ersatzmassnahmen Electronic Monitoring oder eine Meldepflicht.</w:t>
      </w:r>
    </w:p>
    <w:p>
      <w:r>
        <w:t>Eine Schriftensperre oder Electronic Monitoring fällt schon mangels systematischer Grenzkontrollen im Schengen-Raum ausser Betracht (Härri, in: Basler Kommentar StPO, 3. Auflage 2023, Art. 237 N 9 f.;Schmid/Jositsch, StPO Praxiskommentar, 3. Auflage 2018, Art. 237 N 7). Darüber hinaus ist auch nicht ersichtlich, inwiefern eine Meldepflicht an einer Flucht ins Ausland hindern könnte, zumal Fluchtgefahr zurzeit auch nicht den einzigen Haftgrund darstellt.</w:t>
      </w:r>
    </w:p>
    <w:p>
      <w:r>
        <w:t>5.2.3Angesichts der verwirklichten Haftgründe sind damit auch keine milderen Ersatzmassnahmen ersichtlich.</w:t>
      </w:r>
    </w:p>
    <w:p>
      <w:r>
        <w:rPr>
          <w:b/>
        </w:rPr>
        <w:t>E. 6</w:t>
      </w:r>
    </w:p>
    <w:p>
      <w:r>
        <w:t>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