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HB.2023.20 vom 11. Mai 2023</w:t>
      </w:r>
    </w:p>
    <w:p>
      <w:r>
        <w:t>BS Appellationsgericht, 2023-05-11, DE</w:t>
      </w:r>
    </w:p>
    <w:p>
      <w:r>
        <w:rPr>
          <w:b/>
        </w:rPr>
        <w:t xml:space="preserve">Quelle: </w:t>
      </w:r>
      <w:r>
        <w:t>https://mcp.opencaselaw.ch/entscheid/bs_appellationsgericht_HB.2023.20</w:t>
      </w:r>
    </w:p>
    <w:p>
      <w:r>
        <w:t>FR: BS_APPELLATIONSGERICHT HB.2023.20 du 11 mai 2023</w:t>
      </w:r>
    </w:p>
    <w:p>
      <w:r>
        <w:t>IT: BS_APPELLATIONSGERICHT HB.2023.20 del 11 maggio 2023</w:t>
      </w:r>
    </w:p>
    <w:p>
      <w:pPr>
        <w:pStyle w:val="Heading2"/>
      </w:pPr>
      <w:r>
        <w:t>Erwägungen</w:t>
      </w:r>
    </w:p>
    <w:p>
      <w:r>
        <w:rPr>
          <w:b/>
        </w:rPr>
        <w:t>E. 1</w:t>
      </w:r>
    </w:p>
    <w:p>
      <w:r>
        <w:t>1.1Die verhaftete Person kann Entscheide des Zwangsmassnahmengerichts über die Anordnung oder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2.2Der erforderliche dringende Tatverdacht wurde im Rahmen des Haftbeschwerdeentscheids des Appellationsgerichts (HB.2022.61) vom 27. Dezember 2022 als gegeben erachtet. Er besteht weiterhin, was im vorliegenden Verfahren nicht mehr bestritten wird.</w:t>
      </w:r>
    </w:p>
    <w:p>
      <w:r>
        <w:rPr>
          <w:b/>
        </w:rPr>
        <w:t>E. 2.3</w:t>
      </w:r>
    </w:p>
    <w:p>
      <w:r>
        <w:t>2.3.1Strittig ist vorliegend, ob nach wie vor von Kollusionsgefahr auszugehen ist, wie es die Vorinstanz angenommen hat. Das Zwangsmassnahmengericht hat dazu erwogen, nach einer Haftentlassung könnte der Beschuldigte trotz der vorhandenen Sachbeweise Einfluss auf Mitbeschuldigte, weitere Beteiligte sowie auf den Geschädigten nehmen. Der Beschuldigte könnte auf den Geschädigten einwirken und dieser könnte in der Folge von seinen bisherigen Aussagen abweichen ‒ der Geschädigte habe in der Hauptverhandlung erneut auszusagen. Dass der Beschuldigte den Geschädigten nicht kenne und dass dieser nunmehr von Basel weggezogen sei, vermöge eine Kollusion zu erschweren, jedoch nicht zu verunmöglichen. Anlässlich des Vorfalls vom 24. September 2022 sei ersichtlich geworden, wie schnell Informationen ausgetauscht und weitergegeben werden können.</w:t>
      </w:r>
    </w:p>
    <w:p>
      <w:r>
        <w:t>2.3.2Der Beschwerdeführer hält dem entgegen, gemäss bundesgerichtlicher Rechtsprechung dürfe Kollusionsgefahr nicht leichthin angenommen werden. Vielmehr müssten konkrete Indizien für die Annahme von Verdunkelungsgefahr sprechen, und je weiter das Strafverfahren vorangeschritten sei und je präziser der Sachverhalt bereits habe abgeklärt werden können, desto höhere Anforderungen seien an den Nachweis von Verdunkelungsgefahr zu stellen. Im vorliegenden Fall stehe das Vorverfahren kurz vor dem Abschluss. Die Schlusseinvernahme mit dem Beschwerdeführer habe am 19. April 2023 stattgefunden. Die weiteren Ermittlungen seien offenbar weit fortgeschritten, da die Staatsanwaltschaft bereits einen Entwurf der Anklageschrift ausgefertigt habe. Die Vorinstanz begründe nicht, weshalb der Mitbeschuldigte B____ auf freiem Fuss sei, obschon dieser in gleicher Weise kolludieren könnte. Der Geschädigte sei bereits einlässlich zur Sache befragt, weshalb fraglich sei, ob eine allfällige Einflussnahme überhaupt noch zielführend wäre. Allfällige Kollusionshandlungen gegenüber dem Geschädigten hätten längst von B____ durchgeführt werden können. Die Kollusionsgefahr des Beschwerdeführers sei somit nur noch abstrakter Natur.</w:t>
      </w:r>
    </w:p>
    <w:p>
      <w:r>
        <w:t>2.3.3Die Staatsanwaltschaft spricht sich in ihrer Stellungnahme weiterhin für die Annahme von Kollusionsgefahr aus. Die Beteiligten hätten ihre Fähigkeiten zu schnellem Informationsaustausch bereits unter Beweis gestellt. Im Verfahren von B____ würden die Regeln des Jugendstrafverfahrens gelten, und es sei für das vorliegende Verfahren unwesentlich, ob dort die Kollusionsgefahr richtig beurteilt worden sei. Der Beurteilte habe ein grosses Interesse an einer Einflussnahme auf den Geschädigten, da dieser vor Strafgericht noch einmal befragt werde.</w:t>
      </w:r>
    </w:p>
    <w:p>
      <w:r>
        <w:t>2.3.4Die Verteidigung hat dazu repliziert, dass es zur Annahme von Kollusionsgefahr gemäss Bundesgericht nach Abschluss des Vorverfahrens nicht ausreiche, dass der Geschädigte vor Gericht noch einmal zu befragen sei. Entgegen der Annahme der Staatsanwaltschaft sei der Umstand, dass der Mitbeschuldigte B____ sich in Freiheit befinde, sehr wohl wesentlich für die Beurteilung der Kollusionsgefahr, da dieser ohne weiteres hätte kolludieren können.</w:t>
      </w:r>
    </w:p>
    <w:p>
      <w:r>
        <w:t>2.3.5Im Unterschied zum Zeitpunkt des Entscheids des Appellationsgerichts vom 27. Dezember 2022 (HB.2022.61) ist die Untersuchung und somit das Vorverfahren bis auf noch laufende Fristen für allfällige Beweisanträge und die Anklageerhebung abgeschlossen. Die dazumal noch zu verhindernde Beeinflussung der Zeugen und des Geschädigten ist nach deren Befragung nicht mehr in gleicher Weise zu befürchten. Die Anforderungen an den Haftgrund der Kollusionsgefahr sind deshalb mittlerweile deutlich gestiegen.Der Mitbeschuldigte B____ befindet sich auf freiem Fuss, weshalb auch von seiner Seite Einflussnahmen möglich wären. Allein aufgrund der Tatsache, dass er unter das Jugendstrafrecht fällt, erschliesst sich nicht, weshalb vom Beschwerdeführer eine größere Kollusionsgefahr ausgehen sollte als von ihm (vgl. Urteil 1B_1 5/2023 vom 24. Januar 2023 E. 3.4.2).</w:t>
      </w:r>
    </w:p>
    <w:p>
      <w:r>
        <w:t>Die Aussagen des Geschädigten stellen nicht das einzige und zentrale Beweismittel dar, weshalb an der weiteren Abschirmung von einer möglichen Einflussnahme kein erhebliches öffentliches Interesse besteht (vgl. Urteil 1B_558/2021 vom 3. November 2021 E. 3.3). Auch wenn angesichts der gravierenden Tatvorwürfe ein gewisser Anreiz für den Beschwerdeführer zur Einflussnahme auf den Geschädigten bestehen dürfte, liegen keine konkreten Anhaltspunkte für Verdunkelungshandlungen vor. Er kennt den Geschädigten nicht und weiss nicht, wo dieser wohnt. Aufgrund des Wegzugs des Geschädigten erscheint auch die Wahrscheinlichkeit eines zufälligen Treffens gering.</w:t>
      </w:r>
    </w:p>
    <w:p>
      <w:r>
        <w:t>Das Vorliegen von Kollusionsgefahr ist demnach zu verneinen, und der Beschwerdeführer ist in Gutheissung seiner Beschwerde unverzüglich aus der Untersuchungshaft zu entlassen.</w:t>
      </w:r>
    </w:p>
    <w:p>
      <w:r>
        <w:rPr>
          <w:b/>
        </w:rPr>
        <w:t>E. 3</w:t>
      </w:r>
    </w:p>
    <w:p>
      <w:r>
        <w:t>3.1Für das Beschwerdeverfahren werden keine Kosten erhoben.</w:t>
      </w:r>
    </w:p>
    <w:p>
      <w:r>
        <w:t>3.2Für das vorliegende Verfahren wird antragsgemäss die amtliche Verteidigung bewilligt.Die Verteidigerin ist für ihren Aufwand gemäss Kostennote zu entschädigen.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