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HB.2022.69 vom 12. Januar 2023</w:t>
      </w:r>
    </w:p>
    <w:p>
      <w:r>
        <w:t>BS Appellationsgericht, 2023-01-12, DE</w:t>
      </w:r>
    </w:p>
    <w:p>
      <w:r>
        <w:rPr>
          <w:b/>
        </w:rPr>
        <w:t xml:space="preserve">Quelle: </w:t>
      </w:r>
      <w:r>
        <w:t>https://mcp.opencaselaw.ch/entscheid/bs_appellationsgericht_HB.2022.69</w:t>
      </w:r>
    </w:p>
    <w:p>
      <w:r>
        <w:t>FR: BS_APPELLATIONSGERICHT HB.2022.69 du 12 janvier 2023</w:t>
      </w:r>
    </w:p>
    <w:p>
      <w:r>
        <w:t>IT: BS_APPELLATIONSGERICHT HB.2022.69 del 12 gennaio 2023</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hinsichtlich eines (versuchten) Einbruchdiebstahls in seiner Beschwerde nicht bestritten. Entsprechend kann hierzu auf die zutreffenden Ausführungen der Vorinstanz verwiesen werden (act. 1, S. 2 f.). Zudem hat der Beschwerdeführer in der Einvernahme vom 2. Januar 2023 einen weiteren (vollendeten) Einbruchsdiebstahl eingestanden (act. 9, S. 14 ff.). In Bezug auf diese Delikte ist die Voraussetzung des dringenden Tatverdachts somit klarerweise gegeben.</w:t>
      </w:r>
    </w:p>
    <w:p>
      <w:r>
        <w:rPr>
          <w:b/>
        </w:rPr>
        <w:t>E. 4</w:t>
      </w:r>
    </w:p>
    <w:p>
      <w:r>
        <w:t>4.1Als besonderen Haftgrund hat die Vorinstanz Fluchtgefahr angenommen. Der Beschwerdeführer wendet dagegen ein, dass die Vermutung der Vorinstanz falsch sei, er würde bei einer Rückkehr nach [...]/Frankreich mutmasslich nicht (mehr) mit den Schweizer Strafbehörden kooperieren, da er dadurch nichts zu gewinnen hätte. Der Beschwerdeführer habe die betreffenden Taten im Wesentlichen zugestanden. Eine diesbezügliche Verurteilung sei daher wahrscheinlich. Allerdings könne er durch eine weitere Kooperation mit den Strafverfolgungsbehörden in der Schweiz immer noch Einfluss auf die Strafhöhe und eine allfällige Gewährung des bedingten Strafvollzugs nehmen. Er habe daher gewichtige Interessen, sich dem Verfahren in der Schweiz nicht zu entziehen. Eine nicht bloss theoretisch bestehende, sondern vielmehr konkrete und erhebliche Fluchtgefahr bestehe beim Beschwerdeführer daher nicht, weswegen Untersuchungshaft abzulehnen sei. Eventualiter wäre die Fluchtgefahr durch eine Meldepflicht weiter zu reduzieren, sodass sie keine weitere Haft mehr rechtfertige. Die Staatsanwaltschaft habe zudem nicht widerlegen können, dass er in [...] wohne und dort einer geregelten Arbeit nachgehe. Dies stütze die Argumentation, wonach davon auszugehen sei, dass er bei einer Entlassung nicht einfach untertauchen dürfte, sondern vielmehr Wohnung und Arbeit behalten wolle.</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 1B_300/2011 vom 4. Juli 2011 E. 3.3; Forster, in: Basler Kommentar, 2. Aufl., Basel 2014, Art. 221 StPO N 5). Die Annahme von Fluchtgefahr ist nicht ausgeschlossen, nur weil sich die betroffene Person in ein Land absetzen könnte, das grundsätzlich in die Schweiz ausliefern respektive stellvertretend verfolgen könnte (Frei/ZuberbühlerElsässer, in: Donatsch et al. [Hrsg.], Kommentar zur Schweizerischen Strafprozessordnung, 3. Auflage 2020, Art. 221 N 16 m.H. auf die Rechtsprechung).</w:t>
      </w:r>
    </w:p>
    <w:p>
      <w:r>
        <w:t>4.2.2Die Ausführungen, die der Beschwerdeführer gegen das Vorliegen von Fluchtgefahr vorbringt, sind unbehelflich. Zum einen wird ihm versuchter Diebstahl, Diebstahl, mehrfacher Hausfriedensbruch und mehrfache Sachbeschädigung vorgeworfen. Gemäss Art. 139 des schweizerischen Strafgesetzbuches (StGB, SR 311.0) wird Diebstahl mit Freiheitsstrafe bis zu fünf Jahren oder Geldstrafe bestraft. Da dem Beschwerdeführer mehrfache (teilweise versuchte) Tatbegehung  auch weiterer Tatbestände  vorgeworfen wird, erweitert sich der Strafrahmen gemäss Art. 49 Abs. 1 StGB auf bis zu 7 ½ Jahre Freiheitsstrafe. Der Beschwerdeführer hätte vorliegend aufgrund der Vorwürfe  und auch seiner einschlägigen Vorstrafen in Italien und Frankreich (vgl. act. 7, S. 11 ff.)  mit einer nicht nur geringfügigen Strafe zu rechnen, weshalb ein nicht unerheblicher Fluchtanreiz besteht.</w:t>
      </w:r>
    </w:p>
    <w:p>
      <w:r>
        <w:t>Zudem hat der Beschwerdeführer gemäss seinen eigenen Aussagen seinen aktuellen Lebensmittelpunkt in [...], Frankreich. Gemäss seinen Angaben wohne er seit zwei Monaten dort, vorher habe er sich für mehr als zwei Jahre in den Niederlanden aufgehalten. Seine Freundin lebe in Rumänien. Auch seine angebliche Arbeitsstelle sei in [...]. Zur Schweiz habe er keinerlei Beziehungen, er sei am 13. Dezember 2022 zum ersten Mal in die Schweiz gekommen (act. 7, S. 4 f.). Der Beschwerdeführer verfügt demnach in wirtschaftlicher und familiärer Hinsicht über keinerlei Beziehung zur Schweiz. Mithin liegt es in Übereinstimmung mit dem vorinstanzlichen Entscheid auf der Hand, dass er im Fall der Haftentlassung nach Frankreich zurückkehren wird. Dies wird denn auch vom Beschwerdeführer selbst nicht bestritten.</w:t>
      </w:r>
    </w:p>
    <w:p>
      <w:r>
        <w:t>Auch wenn davon auszugehen ist, dass Frankreich den Beschwerdeführer wohl an die Schweiz ausliefern würde, ist nach bundesgerichtlicher Rechtsprechung dem Staat, welchem die Strafhoheit zusteht, nicht zuzumuten, auf die Sicherung der Person des Angeschuldigten zu verzichten und bei dessen Flucht den langwierigen Weg des Auslieferungsbegehrens oder eines Ersuchens um Übernahme der Strafverfolgung zu beschreiten (BGE 123 I 31 E. 3d; BGer 1B_283/2016 vom 26. August 2016 E. 4, 1B_251/2015 vom 12. August 2015 E. 3.1). Auch das blosse Bekenntnis des Beschwerdeführers, sich dem Strafverfahren in der Schweiz zu stellen respektive sich den Strafverfolgungsbehörden zur Verfügung zu halten, reicht selbstverständlich nicht zur Bannung dieses Haftgrundes (vgl. AGE HB.2022.40 vom 4. Oktober 2022 E. 4.2.2).</w:t>
      </w:r>
    </w:p>
    <w:p>
      <w:r>
        <w:t>Im Ergebnis ist Fluchtgefahr  wie bereits die Vorinstanz zutreffend erwogen hat  deshalb gegeben.</w:t>
      </w:r>
    </w:p>
    <w:p>
      <w:r>
        <w:rPr>
          <w:b/>
        </w:rPr>
        <w:t>E. 5</w:t>
      </w:r>
    </w:p>
    <w:p>
      <w:r>
        <w:t>Das Vorliegen eines Haftgrundes ist für die Anordnung und Aufrechterhaltung von Untersuchungshaft ausreichend und auf einen weiteren Haftgrund ist auch von der Vorinstanz nicht eingegangen worden. Entsprechend erübrigen sich weitergehende Ausführungen.</w:t>
      </w:r>
    </w:p>
    <w:p>
      <w:r>
        <w:rPr>
          <w:b/>
        </w:rPr>
        <w:t>E. 6</w:t>
      </w:r>
    </w:p>
    <w:p>
      <w:r>
        <w:t>6.1Was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6.2Nach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rPr>
          <w:b/>
        </w:rPr>
        <w:t>E. 6.3</w:t>
      </w:r>
    </w:p>
    <w:p>
      <w:r>
        <w:t>6.3.1Vorliegend ist aufgrund der Schwere der vorgeworfenen Delikte nicht nur von einer niederschwelligen Fluchtneigung auszugehen. Wie die Staatsanwaltschaft zu Recht ausführt, handelt es sich bei Einbruchdiebstählen  gerade in private und bewohnte Liegenschaften  um Delikte von nicht unerheblicher Schwere, hat der Gesetzgeber doch derartige Straftaten als zwingende Gründe für eine obligatorische Landesverweisung aufgeführt (Art. 66a Abs. 1 lit. d StGB; vgl. auch Art. 121 Abs. 3 lit. a der Bundesverfassung [BV, SR 101]; s. dazu auchBrun/Fabbri, Die Landesverweisung  neue Aufgaben und Herausforderungen für die Strafjustiz, in: recht 2017, 236 f.).</w:t>
      </w:r>
    </w:p>
    <w:p>
      <w:r>
        <w:t>Eine Pass- und Schriftensperre könnten eine Flucht des Beschwerdeführers daher nicht verhindern. Dem Beschwerdeführer wäre es problemlos möglich, sich über die nahe Grenze nach Frankreich abzusetzen. Auch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Es sind somit keine milderen Massnahmen als die Anordnung von Untersuchungshaft ersichtlich.</w:t>
      </w:r>
    </w:p>
    <w:p>
      <w:r>
        <w:t>6.3.2Hinsichtlich der Haftdauer gilt es festzuhalten, dass sich der Beschwerdeführer bis zum Ablauf der Haft vier Wochen in Untersuchungshaft befinden wird. Aufgrund der ihm vorgeworfenen Sachverhalte und der auch aufgrund seiner einschlägigen Vorstrafen zu erwartenden Strafe ist die Haft auch in zeitlicher Hinsicht offensichtlich (noch) verhältnismässig. Dies ist bei einer Dauer von vier Wochen selbst dann noch der Fall, wenn  wie vom Beschwerdeführer ausgeführt wird  eine Strafe «im unteren Bereich des Strafrahmens» ausgesprochen werden würde. Ob die (mögliche) Sanktion bedingt oder unbedingt ausgesprochen werden wird, spielt dabei keine Rolle (BGE 133 I 270 E. 3.4.2; AGE HB.2021.6 vom 3. März 2021 E. 6.4).</w:t>
      </w:r>
    </w:p>
    <w:p>
      <w:r>
        <w:t>6.3.3Die angeordnete Haft erweist sich zurzeit somit unter allen Aspekten als verhältnismässig.</w:t>
      </w:r>
    </w:p>
    <w:p>
      <w:r>
        <w:rPr>
          <w:b/>
        </w:rPr>
        <w:t>E. 7</w:t>
      </w:r>
    </w:p>
    <w:p>
      <w:r>
        <w:t>7.1Aus dem Gesagten ergibt sich, dass die Beschwerde abzuweisen ist.</w:t>
      </w:r>
    </w:p>
    <w:p>
      <w:r>
        <w:t>7.2Die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7.3Die beantragte amtliche Verteidigung wird bewilligt und es ist eine angemessene Entschädigung des Verteidigers zu Lasten der Gerichtskasse festzusetzen. Entgegen den Ausführungen der Staatsanwaltschaft ist nicht ersichtlich, dass die Beschwerde des Beschwerdeführers «mit falschen Tatsachen» betr. Vorstrafen «gespickt» ist, hat sich dessen Rechtsvertreter in seiner Eingabe vom 19. Dezember 2022 hierzu doch gar nicht geäussert.</w:t>
      </w:r>
    </w:p>
    <w:p>
      <w:r>
        <w:t>Da keine Honorarnote eingereicht worden ist, ist der Aufwand zu schätzen und insgesamt auf sechs Stunden, zuzüglich Mehrwertsteuer, festzusetzen. Es werden demnach sechs Stunden zu CHF 200. inkl. Auslagen entschädigt.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