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HB.2022.67 vom 29. Dezember 2022</w:t>
      </w:r>
    </w:p>
    <w:p>
      <w:r>
        <w:t>BS Appellationsgericht, 2022-12-29, DE</w:t>
      </w:r>
    </w:p>
    <w:p>
      <w:r>
        <w:rPr>
          <w:b/>
        </w:rPr>
        <w:t xml:space="preserve">Quelle: </w:t>
      </w:r>
      <w:r>
        <w:t>https://mcp.opencaselaw.ch/entscheid/bs_appellationsgericht_HB.2022.67</w:t>
      </w:r>
    </w:p>
    <w:p>
      <w:r>
        <w:t>FR: BS_APPELLATIONSGERICHT HB.2022.67 du 29 décembre 2022</w:t>
      </w:r>
    </w:p>
    <w:p>
      <w:r>
        <w:t>IT: BS_APPELLATIONSGERICHT HB.2022.67 del 29 dicembre 2022</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2.1Die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(Art. 220 Abs. 2 StPO). Die Haft muss überdies verhältnismässig sein. Sie ist aufzuheben, sobald Ersatzmassnahmen zum gleichen Ziel führen (Art. 197 Abs. 1 lit. c, Art. 212 Abs. 2 lit. c StPO), und darf nicht länger dauern als die zu erwartende Freiheitsstrafe (Art. 212 Abs. 3 StPO).</w:t>
      </w:r>
    </w:p>
    <w:p>
      <w:r>
        <w:t>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HB.2020.33 vom 16. November 2020).</w:t>
      </w:r>
    </w:p>
    <w:p>
      <w:r>
        <w:rPr>
          <w:b/>
        </w:rPr>
        <w:t>E. 3</w:t>
      </w:r>
    </w:p>
    <w:p>
      <w:r>
        <w:t>Die Vor­instanz hat die speziellen Haftgründe der Fluchtgefahr und der Kollusionsgefahr bejaht.</w:t>
      </w:r>
    </w:p>
    <w:p>
      <w:r>
        <w:t>3.1Fluchtgefahr liegt gemäss Art. 221 Abs. 1 lit. a StPO vor, wenn ernsthafte Anhaltspunkte eine gewisse Wahrscheinlichkeit belegen, dass sich die beschuldigte Person, wenn sie in Freiheit wäre, durch Flucht dem Strafverfahren oder der zu erwartenden Sanktion entziehen würde. Dabei kann sich die Fluchtgefahr auf eine Flucht ins Ausland oder ein Untertauchen im Inland beziehen.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2.2;Frei/Zuberbühler Elsässer,in: Donatsch et al. [Hrsg.], Kommentar zur Schweizerischen Strafprozessordnung, 3. Auflage, Zürich 2020, Art. 221 N 13). Die Wahrscheinlichkeit einer Flucht nimmt in der Regel mit zunehmender Verfahrens- bzw. Haftdauer ab, da sich damit auch die Dauer des allenfalls noch zu vollziehenden strafrechtlichen Freiheitsentzugs kontinuierlich verringert (BGE 143 IV 160 E. 4.3). Steht eine Haft wegen Untertauchens im Inland zur Debatte, müssen qualifizierte Voraussetzungen für die Annahme des Haftgrundes erfüllt sein (Frei/Zuberbühler Elsässer,a.a.O., Art. 221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