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HB.2022.41 vom 13. Oktober 2022</w:t>
      </w:r>
    </w:p>
    <w:p>
      <w:r>
        <w:t>BS Appellationsgericht, 2022-10-13, DE</w:t>
      </w:r>
    </w:p>
    <w:p>
      <w:r>
        <w:rPr>
          <w:b/>
        </w:rPr>
        <w:t xml:space="preserve">Quelle: </w:t>
      </w:r>
      <w:r>
        <w:t>https://mcp.opencaselaw.ch/entscheid/bs_appellationsgericht_HB.2022.41</w:t>
      </w:r>
    </w:p>
    <w:p>
      <w:r>
        <w:t>FR: BS_APPELLATIONSGERICHT HB.2022.41 du 13 octobre 2022</w:t>
      </w:r>
    </w:p>
    <w:p>
      <w:r>
        <w:t>IT: BS_APPELLATIONSGERICHT HB.2022.41 del 13 ottobre 2022</w:t>
      </w:r>
    </w:p>
    <w:p>
      <w:pPr>
        <w:pStyle w:val="Heading2"/>
      </w:pPr>
      <w:r>
        <w:t>Erwägungen</w:t>
      </w:r>
    </w:p>
    <w:p>
      <w:r>
        <w:rPr>
          <w:b/>
        </w:rPr>
        <w:t>E. 1</w:t>
      </w:r>
    </w:p>
    <w:p>
      <w:r>
        <w:t>1.1Die verhaftete Person kann Entscheide des Zwangsmassnahmengerichts über die Verlängerung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t>1.3Zufolge Zuständigkeit des Sachgerichts ist auf den Antrag, es sei dem Beschwerdeführer eine Haftentschädigung auszurichten, im vorliegenden Beschwerdeverfahren nicht weiter einzugehen.</w:t>
      </w:r>
    </w:p>
    <w:p>
      <w:r>
        <w:rPr>
          <w:b/>
        </w:rPr>
        <w:t>E. 2</w:t>
      </w:r>
    </w:p>
    <w:p>
      <w:r>
        <w:t>Die Anordnung von Untersuchungshaft ist nach Art. 221 Abs. 1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HB.2019.43 vom 22. Juli 2019 E. 3.1, HB.2017.13 vom 12. April 2017 E. 3.4).</w:t>
      </w:r>
    </w:p>
    <w:p>
      <w:r>
        <w:rPr>
          <w:b/>
        </w:rPr>
        <w:t>E. 3.2</w:t>
      </w:r>
    </w:p>
    <w:p>
      <w:r>
        <w:t>3.2.1A____ hat in seiner Beschwerde ausgeführt, die Ausführungen des mutmasslichen Opfers würden zwar materiell bestritten, allerdings werde das Vorliegen eines haftbegründenden Verdachts anerkannt.</w:t>
      </w:r>
    </w:p>
    <w:p>
      <w:r>
        <w:t>3.2.2Das Zwangsmassnahmengericht hat in den Verfügungen vom 4. August 2022 und vom 15. September 2022 die den dringenden Tatverdacht begründenden Vorhalte (herrührend aus den Vorfällen vom 7. November 2021 und vom 1. August 2022) sorgfältig dargestellt und ist zu Recht zum Ergebnis gelangt, dass die Vorwürfe aufgrund der zurzeit verfügbaren Beweismittel prima vista glaubhaft erschienen. Darauf kann verwiesen werden.</w:t>
      </w:r>
    </w:p>
    <w:p>
      <w:r>
        <w:rPr>
          <w:b/>
        </w:rPr>
        <w:t>E. 4</w:t>
      </w:r>
    </w:p>
    <w:p>
      <w:r>
        <w:t>4.1Fluchtgefahr liegt gemäss Art. 221 Abs. 1 lit. a StPO dann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vorliegen, sind neben der Schwere der drohenden Sanktion die gesamten konkreten Verhältnisse, insbesondere die familiären und sozialen Bindungen der beschuldigen Person, ihre berufliche und finanzielle Situation, Alter, Gesundheit, Reise- und Sprachgewandtheit sowie ihre Kontakte zum Ausland massgebend (BGer 1B_364/2017 vom 12. September 2017 E. 2.2, 1B_283/2016 vom 26. August 2016;Forster, in: Basler Kommentar StPO, 2. Auflage 2014, Art. 221 N 5).</w:t>
      </w:r>
    </w:p>
    <w:p>
      <w:r>
        <w:t>4.2Der Beschwerdeführer ist Staatsangehöriger [...], wo er auch geboren und aufgewachsen ist sowie die Schulen besucht hat. Er kam erst im Januar 2020  mit [...] Jahren  in die Schweiz, wobei sein Aufenthaltsrecht (aktuell besitzt er eine B-Bewilligung) aufgrund seiner Arbeitslosigkeit mitunter von einem intakten Familienleben abhängt. Dieses scheint zurzeit ziemlich zerrüttet, hat doch seine Ehefrau angekündigt, dass sie die Scheidung wolle, wobei bereits eine vor dem Zivilgericht geschlossene Trennungsvereinbarung im Recht liegt. Ein weiteres Beziehungsnetz oder eine berufliche Integration beziehungsweise Perspektive in der Schweiz hat der kaum Deutsch sprechende Beschwerdeführer nicht, zumal er vor seiner Inhaftierung von der Sozialhilfe bzw. den Einkünften seiner Ehefrau lebte. Durch die Trennungsvereinbarung wird der finanzielle Aspekt noch verschärft bzw. der Beschwerdeführer diesbezüglich noch mehr unter Druck geraten, da er sich im Falle einer Haftentlassung zunächst eine eigene Wohnung suchen müsste (die eheliche Wohnung wurde in der Trennungsvereinbarung der Ehefrau zugesprochen) und ihm eine Frist gesetzt werden wird, innerhalb derer er eine Arbeit annehmen muss, andernfalls ihm ein hypothetisches Einkommen angerechnet werden kann. Dagegen hat A____ immer noch familiäre Verbindungen in [...], zumal [...] weitere Kinder und seine restliche Familie dort leben, wobei er auch wünschte, dass seine Mutter in [...] über seine Festnahme verständigt werden soll und seine Familie gemäss Aktennotiz vom 20. September 2022 über das mutmassliche Opfer versucht hat, ihn im Gefängnis telefonisch zu erreichen. Dass ihn seine beiden hier lebenden Töchter von einer Flucht abhielten, liegt angesichts der Tatsache, dass er im Jahr 2020 seine Familie, insbesondere seine [...]anderen Kinder, in [...] zurückliess, zumindest nicht nahe. Kommt dazu, dass er in seiner Einvernahme vom 3. August 2022 ausführte, er wolle nun nicht mehr in der Schweiz bleiben, er wolle weg von hier. Nach dem Gesagten ist von Fluchtgefahr auszugehen.</w:t>
      </w:r>
    </w:p>
    <w:p>
      <w:r>
        <w:rPr>
          <w:b/>
        </w:rPr>
        <w:t>E. 5</w:t>
      </w:r>
    </w:p>
    <w:p>
      <w:r>
        <w:t>5.1Kollusionsgefahr liegt dann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1B_388/2012 vom 19. Juli 2012 E. 2.4, 1B_207/2008 vom 11. August 2008 E. 4.2, 1B_44/2008 vom 13. März 2008 E. 5.1).</w:t>
      </w:r>
    </w:p>
    <w:p>
      <w:r>
        <w:t>5.2Obwohl der Beschwerdeführer den haftbegründenden dringenden Tatverdacht nicht in Abrede stellt, bestreitet er die «materiellen» Tatvorwürfe betreffend aller inkriminierten Vorfälle. Damit stehen sich hauptsächlich die Aussagen der beiden Ehegatten gegenüber. Sowohl am 7. November 2021 als auch am 1. August 2022 hat sich A____ vor dem Eintreffen der Polizei vom Tatort entfernt und damit die Wahrheitsfindung  zumindest potentiell  erschwert, weshalb seinerseits von Kollusionsbereitschaft auszugehen ist. Wie bereits zuvor geschildert (vgl. dazu E. 4.2), verfügt der Beschwerdeführer über Beziehungen zu diversen Personen, die ebenso zu seiner Noch-Ehefrau in teilweise engem Kontakt stehen (eigene Eltern, Schwiegermutter, Geschwister der Noch-Ehefrau; der Beschwerdeführer ist gemäss Aktennotiz vom 12. August 2022 zudem der Pate des Kindes der Schwester des mutmasslichen Opfers und hat zu Protokoll gegeben, bei einer Haftentlassung bei ihr oder auch der Schwiegermutter unterkommen zu können), sodass das vom Zivilgericht ausgesprochene Kontakt- und Annäherungsverbot und auch die Einsetzung einer «Kommunikations-Beistandschaft» insbesondere eine Beeinflussung der Ehefrau via Drittpersonen nicht wirksam zu verhindern vermögen. Der gegen A____ erhobene Vorwurf der Drohung lässt zudem darauf schliessen, dass er es offenbar versteht, massiv auf seine Noch-Ehefrau einzuwirken. Dies zeigt sich nicht zuletzt auch darin, dass es C____  gemäss aktueller Verdachtslage  trotz von unabhängiger Seite beobachteter und mehrfacher Gewalt ihr gegenüber unterlassen hat, gegen den Beschwerdeführer Anzeige zu erstatten. Nach dem Gesagten ist im Falle einer Haftentlassung ernsthaft zu befürchten, dass der Beschwerdeführer durch direkte oder indirekte Kontaktaufnahme (beispielsweise über die Schwestern) die Aussagen seiner Ehefrau zu seinen Gunsten zu wenden versuchen wird. Es ist daher auch von Kollusionsgefahr auszugehen.</w:t>
      </w:r>
    </w:p>
    <w:p>
      <w:r>
        <w:rPr>
          <w:b/>
        </w:rPr>
        <w:t>E. 6</w:t>
      </w:r>
    </w:p>
    <w:p>
      <w:r>
        <w:t>Angesichts der verwirklichten Haftgründe der Flucht- und Kollusionsgefahr kann offengelassen werden, ob auch von Fortsetzungs- bzw. Ausführungsgefahr auszugehen wäre.</w:t>
      </w:r>
    </w:p>
    <w:p>
      <w:r>
        <w:rPr>
          <w:b/>
        </w:rPr>
        <w:t>E. 7</w:t>
      </w:r>
    </w:p>
    <w:p>
      <w:r>
        <w:t>7.1Unter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7.2Der Beschwerdeführer befindet sich seit dem 2. August 2022 in Haft. Aufgrund der Vorhalte und der zur Diskussion stehenden Straftatbestände hat er im Falle eines Schuldspruchs mit einer Strafe zu rechnen, welche die bisher angeordnete Untersuchungshaft von 13 Wochen übersteigen dürfte, wobei die Staatsanwaltschaft in ihrem Antrag auf Haftverlängerung angekündigt hat, das Verfahren bald abzuschliessen und zügig Anklage erheben zu können, was angesichts der mutmasslichen Strafhöhe im Sinne der Verhältnismässigkeit auch notwendig erscheint. Bezüglich allfälliger Ersatzmassnahmen ist festzuhalten, dass der Beschwerdeführer nicht in der Lage ist, aus eigenen Mitteln eine Kaution zu leisten. Eine Drittkaution ist nach bundesgerichtlicher Rechtsprechung aber bloss in hier nicht vorliegenden Ausnahmefällen allenfalls geeignet, die beschuldigte Person von einer Flucht abzuhalten (vgl. dazu BGer 1B_149/2017 vom 5. Mai 2017 E. 5.2, 1B_324/2014 vom 16. Oktober 2014 E. 3.5, 1B_388/2015 vom 3. Dezember 2015 E. 2.4.3 und E. 2.5, 1B_251/2015 vom 12. August 2015 E. 4.5; AGE HB.2018.28 vom 15. Juni 2018 E. 5). Eine Schriftensperre fällt mangels systematischer Grenzkontrollen im Schengen-Raum ausser Betracht (Härri, in: Basler Kommentar StPO, 2. Auflage 2014, Art. 237 N 9 f.;Schmid/Jositsch, StPO Praxiskommentar, 3. Auflage 2018, Art. 237 N 7). Darüber hinaus ist auch nicht ersichtlich, inwiefern eine Meldepflicht den Beschwerdeführer an einer Flucht ins Ausland hindern könnte, zumal Fluchtgefahr auch nicht den einzigen Haftgrund darstellt (die Untauglichkeit eines Kontaktverbots wurde bereits diskutiert [vgl. dazu E. 5.2]).</w:t>
      </w:r>
    </w:p>
    <w:p>
      <w:r>
        <w:rPr>
          <w:b/>
        </w:rPr>
        <w:t>E. 8</w:t>
      </w:r>
    </w:p>
    <w:p>
      <w:r>
        <w:t>8.1Aus dem Gesagten ergibt sich, dass die Beschwerde abzuweisen ist. Bei diesem Ausgang des Verfahrens hat der Beschwerdeführer grundsätzlich dessen ordentliche Kosten mit einer Gebühr von CHF 600. zu tragen (Art. 428 Abs. 1 StPO in Verbindung mit § 21 Abs. 2 des Gerichtsgebührenreglements [GGR, SG 154.810]). Über die definitive Auferlegung der Kosten ist allerdings erst mit dem Sachentscheid zu befinden (Art. 421 Abs. 1 StPO).</w:t>
      </w:r>
    </w:p>
    <w:p>
      <w:r>
        <w:t>8.2Nachdem die amtliche Verteidigerin, B____, keine Kostennote eingereicht hat, ist deren Aufwand zu schätzen. In Anbetracht des doppelten Schriftenwechsels erscheint ein Aufwand von praxisgemäss sechs Stunden bei einem Stundenansatz von CHF 200. (einschliesslich Auslagen, zuzüglich Mehrwertsteuer) als angemessen.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