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HB.2022.40 vom 4. Oktober 2022</w:t>
      </w:r>
    </w:p>
    <w:p>
      <w:r>
        <w:t>BS Appellationsgericht, 2022-10-04, DE</w:t>
      </w:r>
    </w:p>
    <w:p>
      <w:r>
        <w:rPr>
          <w:b/>
        </w:rPr>
        <w:t xml:space="preserve">Quelle: </w:t>
      </w:r>
      <w:r>
        <w:t>https://mcp.opencaselaw.ch/entscheid/bs_appellationsgericht_HB.2022.40</w:t>
      </w:r>
    </w:p>
    <w:p>
      <w:r>
        <w:t>FR: BS_APPELLATIONSGERICHT HB.2022.40 du 4 octobre 2022</w:t>
      </w:r>
    </w:p>
    <w:p>
      <w:r>
        <w:t>IT: BS_APPELLATIONSGERICHT HB.2022.40 del 4 ottobre 2022</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bei der Beschwerdeinstanz anfechten (Art. 393 Abs. 1 lit. c i.V.m Art. 222 StPO).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Durch den Beschwerdeführer wird das Vorliegen eines dringenden Tatverdachts in seiner Beschwerde nicht bestritten. Entsprechend kann hierzu auf die zutreffenden Ausführungen der Vorinstanz verwiesen werden (act. 1, S. 2 f.).</w:t>
      </w:r>
    </w:p>
    <w:p>
      <w:r>
        <w:rPr>
          <w:b/>
        </w:rPr>
        <w:t>E. 4</w:t>
      </w:r>
    </w:p>
    <w:p>
      <w:r>
        <w:t>4.1Als besonderen Haftgrund hat die Vorinstanz Fluchtgefahr angenommen. Der Beschwerdeführer wendet dagegen ein, er plane, mit seinem Vater und seinem Cousin in der Schweiz zu leben und hier zu arbeiten. Ausserdem sichert er zu, bei seiner Mutter in Frankreich zu wohnen, bis es ihm gesundheitlich wieder besser gehe. Auch würde er sich den Strafverfolgungsbehörden jederzeit zur Verfügung zu halten.</w:t>
      </w:r>
    </w:p>
    <w:p>
      <w:r>
        <w:rPr>
          <w:b/>
        </w:rPr>
        <w:t>E. 4.2</w:t>
      </w:r>
    </w:p>
    <w:p>
      <w:r>
        <w:t>4.2.1Fluchtgefahr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die Annahme von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BGer 1B_364/2017 vom 12. September 2017 E. 2.2, 1B_300/2011 vom 4. Juli 2011 E. 3.3;Forster, in: Basler Kommentar, 2. Aufl., Basel 2014, Art. 221 StPO N 5). Die Annahme von Fluchtgefahr ist nicht ausgeschlossen, nur weil sich die betroffene Person in ein Land absetzen könnte, das grundsätzlich in die Schweiz ausliefern respektive stellvertretend verfolgen könnte (Frei/Zuberbühler Elsässer, in: Donatsch et al. [Hrsg.], Kommentar zur Schweizerischen Strafprozessordnung, 3. Auflage 2020, Art. 221 N 16 m.H. auf die Rechtsprechung).</w:t>
      </w:r>
    </w:p>
    <w:p>
      <w:r>
        <w:t>4.2.2Die Ausführungen, die der Beschwerdeführer gegen das Vorliegen von Fluchtgefahr vorbringt, sind unbehelflich. Zum einen wird ihm unter anderem mehrfache Gefährdung des Lebens zur Last gelegt. Gemäss Art. 129 des schweizerischen Strafgesetzbuches (StGB, SR 311.0) wird dieses Delikt mit Freiheitsstrafe bis zu fünf Jahren oder Geldstrafe bestraft. Da dem Beschwerdeführer mehrfache Tatbegehung vorgeworfen wird, erweitert sich der Strafrahmen gemäss Art. 49 Abs. 1 StGB auf bis zu 7 ½ Jahre Freiheitsstrafe. Der Beschwerdeführer hätte vorliegend aufgrund der Vorwürfe mit einer nicht nur geringfügigen Strafe zu rechnen, weshalb ein nicht unerheblicher Fluchtanreiz besteht.</w:t>
      </w:r>
    </w:p>
    <w:p>
      <w:r>
        <w:t>Zudem hat der Beschwerdeführer seinen Lebensmittelpunkt und den Grossteil seiner sozialen Kontakte in [...], Frankreich. Gemäss seinen Angaben wohnt er bei seiner Mutter in [...], wo auch seine Freundin wohne. Eine Arbeitsstelle habe er zurzeit nicht. Der Beschwerdeführer verfügt demnach in wirtschaftlicher Hinsicht über keinerlei Beziehung zur Schweiz und auch in familiärer Hinsicht ist der Schwerpunkt in Frankreich zu verorten, gibt der Beschwerdeführer doch an, seit jeher Wohnsitz in [...] gehabt zu haben. Gemäss aktueller Verdachtslage ist der Beschwerdeführer lediglich als «Tourist» in die Schweiz eingereist, um vor der nacheilenden französischen Polizei zu fliehen. Deshalb liegt es auf der Hand, dass er im Fall der Haftentlassung nach Frankreich zurückkehren wird. Für die Behauptung des Beschwerdeführers, er würde bei seinem Vater und seinem Cousin in der Schweiz leben und hier einer Arbeit nachgehen wollen, liegen keinerlei konkrete Anhaltspunkte vor, gab er doch vielmehr an, eine Ausbildung in [...] angestrebt zu haben, die er am 8. September 2022 begonnen hätte (vgl. Protokoll Verhandlung ZMG, S. 3).</w:t>
      </w:r>
    </w:p>
    <w:p>
      <w:r>
        <w:t>Auch wenn davon auszugehen ist, dass Frankreich den Beschwerdeführer wohl an die Schweiz ausliefern würde, ist nach bundesgerichtlicher Rechtsprechung dem Staat, welchem die Strafhoheit zusteht, nicht zuzumuten, auf die Sicherung der Person des Angeschuldigten zu verzichten und bei dessen Flucht den langwierigen Weg des Auslieferungsbegehrens oder eines Ersuchens um Übernahme der Strafverfolgung zu beschreiten (BGE 123 I 31 E. 3d; BGer 1B_283/2016 vom 26. August 2016 E. 4, 1B_251/2015 vom 12. August 2015 E. 3.1). Auch das blosse Bekenntnis des Beschwerdeführers, sich dem Strafverfahren in der Schweiz zu stellen respektive sich den Strafverfolgungsbehörden zur Verfügung zu halten, reicht selbstverständlich nicht zur Bannung dieses Haftgrundes.</w:t>
      </w:r>
    </w:p>
    <w:p>
      <w:r>
        <w:t>Im Ergebnis ist Fluchtgefahr  wie bereits die Vorinstanz zutreffend erwogen hat  deshalb gegeben.</w:t>
      </w:r>
    </w:p>
    <w:p>
      <w:r>
        <w:rPr>
          <w:b/>
        </w:rPr>
        <w:t>E. 5</w:t>
      </w:r>
    </w:p>
    <w:p>
      <w:r>
        <w:t>Das Vorliegen eines Haftgrundes ist für die Anordnung und Aufrechterhaltung von Untersuchungshaft ausreichend und auf einen weiteren Haftgrund ist auch von der Vorinstanz nicht eingegangen worden. Entsprechend erübrigen sich weitergehende Ausführungen.</w:t>
      </w:r>
    </w:p>
    <w:p>
      <w:r>
        <w:rPr>
          <w:b/>
        </w:rPr>
        <w:t>E. 6</w:t>
      </w:r>
    </w:p>
    <w:p>
      <w:r>
        <w:t>6.1Was des Weiteren die Verhältnismässigkeit der Haft anbelangt, so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6.2Nach Art. 237 Abs. 1 StPO ordnet das Gericht an Stelle der Haft eine oder mehrere mildere Massnahmen an, wenn sie den gleichen Zweck wie die Haft erfüllen. Auch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BGer 1B_217/2011 vom 7. Juni 2011 E. 5.3, 1B_715/2012 vom 18. Dezember 2012 E. 3.1.2, 1B_322/2017 vom 24. August 2017 E. 3.1).</w:t>
      </w:r>
    </w:p>
    <w:p>
      <w:r>
        <w:rPr>
          <w:b/>
        </w:rPr>
        <w:t>E. 6.3</w:t>
      </w:r>
    </w:p>
    <w:p>
      <w:r>
        <w:t>6.3.1Vorliegend ist aufgrund der Schwere der vorgeworfenen Delikte nicht nur von einer niederschwelligen Fluchtneigung auszugehen. Eine Pass- und Schriftensperre könnten eine Flucht des Beschwerdeführers daher nicht verhindern. Dem Beschwerdeführer wäre es problemlos möglich, sich über die nahe Grenze nach Frankreich abzusetzen. Auch bildet die Schriftensperre nach bundesgerichtlicher Rechtsprechung innerhalb des Schengenraumes keine taugliche Ersatzmassnahme, da aufgrund fehlender Personenkontrollen an den Landesgrenzen eine Aus- bzw. Einreise problemlos möglich ist (BGer 1B_362/2019 vom 17. September 2019 E. 3.2). Auch eine Meldepflicht ist nicht geeignet, ein Untertauchen des Beschwerdeführers zu verhindern, sondern erlaubt einzig die rasche Einleitung einer Fahndung im Falle einer Flucht. Ferner genügt auch eine elektronische Fussfessel als Ersatzmassnahme aufgrund praktischer Umsetzungsprobleme nicht, da sie keine flächendeckende Echtzeitüberwachung ermöglicht (BGE 145 IV 503 E. 3.3). Es sind somit keine milderen Massnahmen als die Anordnung von Untersuchungshaft ersichtlich.</w:t>
      </w:r>
    </w:p>
    <w:p>
      <w:r>
        <w:t>6.3.2Hinsichtlich der Haftdauer gilt es festzuhalten, dass sich der Beschwerdeführer bis zum Ablauf der Haft 8 Wochen in Untersuchungshaft befinden wird. Aufgrund des ihm vorgeworfenen Sachverhalts und der zu erwartenden Strafe ist die Haft auch in zeitlicher Hinsicht offensichtlich verhältnismässig. Ob die (mögliche) Sanktion bedingt oder unbedingt ausgesprochen werden wird, spielt dabei keine Rolle (BGE 133 I 270 E. 3.4.2 S. 281 f.; AGE HB.2021.6 vom 3. März 2021 E. 6.4). Für die noch durchzuführenden Ermittlungshandlungen durch die Staatsanwaltschaft kann auf die Ausführungen der Vorinstanz verwiesen werden.</w:t>
      </w:r>
    </w:p>
    <w:p>
      <w:r>
        <w:t>6.3.3Was des Weiteren die Einwände des Beschwerdeführers wegen seiner dislozierten Schulter anbelangt, so vermögen auch diese nichts an der Verhältnismässigkeit der Haft zu ändern. Sollte eine Operation des Beschwerdeführers tatsächlich dringend nötig sein, könnte diese auch in Untersuchungshaft durchgeführt werden. Der Beschwerdeführer kann sich diesbezüglich an den medizinischen Dienst des Untersuchungsgefängnisses wenden. Gemäss Verfügung des Untersuchungsgefängnisses Basel-Stadt vom 13. September 2022 scheinen die Probleme mit der Schulter sodann ohnehin selbstverschuldet zu sein. Der Beschwerdeführer könne sich die Schulter so auch selbst aus- und wieder einrenken. Zu seinem eigenen Schutz  aufgrund von einer aktuellen Gefahr der Gewaltanwendung gegen sich selbst  wurde der Beschwerdeführer zudem in einer dafür besonders eingerichteten Sicherheitszelle mit Videoüberwachung untergebracht. Eine entsprechende Versorgung des Beschwerdeführers ist also offensichtlich gewährleistet.</w:t>
      </w:r>
    </w:p>
    <w:p>
      <w:r>
        <w:t>6.3.4Die angeordnete Haft erweist sich somit unter allen Aspekten als verhältnismässig.</w:t>
      </w:r>
    </w:p>
    <w:p>
      <w:r>
        <w:rPr>
          <w:b/>
        </w:rPr>
        <w:t>E. 7</w:t>
      </w:r>
    </w:p>
    <w:p>
      <w:r>
        <w:t>7.1Aus dem Gesagten ergibt sich, dass die Beschwerde abzuweisen ist.</w:t>
      </w:r>
    </w:p>
    <w:p>
      <w:r>
        <w:t>7.2Die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