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HB.2022.38 vom 14. September 2022</w:t>
      </w:r>
    </w:p>
    <w:p>
      <w:r>
        <w:t>BS Appellationsgericht, 2022-09-14, DE</w:t>
      </w:r>
    </w:p>
    <w:p>
      <w:r>
        <w:rPr>
          <w:b/>
        </w:rPr>
        <w:t xml:space="preserve">Quelle: </w:t>
      </w:r>
      <w:r>
        <w:t>https://mcp.opencaselaw.ch/entscheid/bs_appellationsgericht_HB.2022.38</w:t>
      </w:r>
    </w:p>
    <w:p>
      <w:r>
        <w:t>FR: BS_APPELLATIONSGERICHT HB.2022.38 du 14 septembre 2022</w:t>
      </w:r>
    </w:p>
    <w:p>
      <w:r>
        <w:t>IT: BS_APPELLATIONSGERICHT HB.2022.38 del 14 settembre 2022</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HB.2019.43 vom 22. Juli 2019 E. 3.1, HB.2017.13 vom 12. April 2017 E. 3.4).</w:t>
      </w:r>
    </w:p>
    <w:p>
      <w:r>
        <w:t>3.2Zum dringenden Tatverdacht hat der Beschwerdeführer in seinen Eingaben keine Ausführungen gemacht. Das Zwangsmassnahmengericht hat die diversen Vorhalte indes sorgfältig dargestellt und ist zu Recht zum Ergebnis gelangt, dass die einzelnen Vorwürfe aufgrund der zurzeit verfügbaren Beweismittel prima vista glaubhaft erschienen. Im Vordergrund steht der Vorfall vom 17. bzw. 18. August 2022, bei welchem der Beschwerdeführer seine Bekannte bzw. Freundin C____ in deren Zimmer [...]  nachdem beide zusammen eingeschlafen waren  unvermittelt auf deren Bett gedrückt und ihr fünf- bis achtmal mit den Fäusten ins Gesicht geschlagen und sie beschuldigt haben soll, dass sie fremdgehen würde. Anschliessend habe er C____ mit einem Kabel, welches er zuvor behändigt haben soll, zu strangulieren versucht, indem er es um ihren Hals gewickelt und es dann zugezogen habe. Anschliessend soll der Beschwerdeführer verschiedene Gegenstände, darunter Zucker und einen Aschenbecher, sowie sein eigenes Mobiltelefon, welches er C____ auch ins Gesicht geworfen haben soll, durch die Wohnung geschmissen haben. Danach habe er ein Staubsaugerrohr ergriffen und mit diesem auf C____ eingeschlagen. Während des gesamten Geschehens soll er Letzterer mehrfach gedroht haben, er würde sie umbringen. Zudem habe er sie mehrfach als «Schlampe» und «Nutte» beschimpft. Diese Drohung und Beschimpfung hat er laut Rapport vom 18. August 2022 auch gegenüber der Polizei wiederholt. Er wird sinngemäss folgendermassen zitiert: «Diese Nutte hat mich betrogen. Sie wird dafür bezahlen, das garantiere ich euch allen».</w:t>
      </w:r>
    </w:p>
    <w:p>
      <w:r>
        <w:rPr>
          <w:b/>
        </w:rPr>
        <w:t>E. 4</w:t>
      </w:r>
    </w:p>
    <w:p>
      <w:r>
        <w:t>4.1Ausführungsgefahr im Sinne von Art. 221 Abs. 2 StPO besteht, wenn ernsthaft zu befürchten ist, eine Person werde ihre Drohung, ein schweres Verbrechen auszuführen, wahrmachen. Die Haft wegen Ausführungsgefahr zielt nicht auf Repression, sondern auf Prävention ab und verlangt keinen Tatverdacht (Gfeller/Bigler/Bonin, Untersuchungshaft, ein Leitfaden für die Praxis, Zürich/Basel/Genf 2017, Rz. 562 f.). Die Notwendigkeit, die beschuldigte Person an der Begehung einer strafbaren Handlung zu hindern, wird in Art. 5 Ziff. 1 lit. c der Europäischen Menschenrechtskonvention (EMRK, SR 0.101) ausdrücklich als Haftgrund anerkannt. Besonders bei drohenden schweren Gewaltverbrechen ist dabei auch dem psychischen Zustand der verdächtigen Personen bzw. ihrer Unberechenbarkeit oder Aggressivität Rechnung zu tragen (BGE 137 IV 122 E. 5.2, 123 I 268 E. 2e).</w:t>
      </w:r>
    </w:p>
    <w:p>
      <w:r>
        <w:t>4.2Der Beschwerdeführer hat C____ vor seiner Inhaftierung trotz Kontakt- und Rayonverbots immer wieder aufgesucht bzw. belästigt. Anlässlich zweier Vorfälle (vom 17. bzw. 18. August 2022 und vom 25. August 2022) hat er Todesdrohungen ausgestossen und C____ bei beiden Gelegenheiten auch physisch angegriffen. Seine Bereitschaft, C____ körperlich schwer (strangulieren mittels Kabel) zu attackieren, ist daher zum jetzigen Zeitpunkt manifest. Zudem präsentiert sich der Beschwerdeführer aufgrund seiner Drogenabhängigkeit und seines psychischen Zustands (offenbar bestehen Wechselwirkungen) als unberechenbar und zeigt auch eine deutliche Steigerung seiner Gewaltbereitschaft, was von ärztlicher Seite bestätigt wird. So hat D____, Oberärztin in der UPK, gegenüber der Staatsanwaltschaft (von sich aus, also ohne Zutun der Staatsanwaltschaft) ausgeführt, dass vom Beschwerdeführer eine Gefahr ausgehe. E____, [...] hat (ebenfalls selbständig) sogar festgehalten, dass ernsthaft zu befürchten sei, A____ könnte einen «Femizid» an C____ verüben. Angesichts dieser Umstände kann von «rhetorischem Unsinn» keine Rede sein. Es ist zwar effektiv erstaunlich, dass die Staatsanwaltschaft erst nach dem versuchten Einbruchdiebstahl vom 28. August 2022 Untersuchungshaft beantragt hat. Dies ändert indes nichts daran, dass ernsthaft zu befürchten ist, der Beschwerdeführer werde eine schwere Gewalttat (an C____) begehen. Ausführungsgefahr ist nach dem Gesagten zu bejahen.</w:t>
      </w:r>
    </w:p>
    <w:p>
      <w:r>
        <w:rPr>
          <w:b/>
        </w:rPr>
        <w:t>E. 5</w:t>
      </w:r>
    </w:p>
    <w:p>
      <w:r>
        <w:t>5.1Kollusionsgefahr liegt dann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5.2Die Mehrheit der Taten, derer der Beschwerdeführer dringend verdächtigt wird, wurden zum Nachteil von C____ begangen, welche A____ anlässlich ihrer Einvernahme am 18. August 2022 sowie in den jeweiligen Requisitionssituationen belastet hat. Mit C____ führt der Beschwerdeführer eine nicht genau definierte, freundschaftlich-romantische, jedenfalls aber persönlich wie auch körperlich nahe Beziehung. Da der Beschwerdeführer bereits manifestiert hat, dass er sich weder an Haus-, Rayon- oder Kontaktverbote hält und ihn auch an Ort und Stelle ausgesprochene polizeiliche Wegweisungen und kurzfristige Inhaftierungen nicht von einer Rückkehr an bestimmte Orte (wo sich C____ aufhält) abgehalten haben, liegt es mit dem Zwangsmassnahmengericht auf der Hand, dass er sich im Falle einer Haftentlassung umgehend wieder auf den Weg zur mutmasslich Geschädigten machen würde und versuchen würde, sie zu einem für ihn günstigen Aussageverhalten anlässlich weiterer Einvernahmen (insbesondere einer Konfrontationseinvernahme) zu bewegen, zumal sich am 25. August 2022 und damit nach der Einvernahme von C____ vom 18. August 2022 ein erneutes Delikt zu ihren Lasten ereignet hat. Dabei ist angesichts der dem Beschwerdeführer vorgeworfenen Delikte auch von einer möglichen Gewaltanwendung auszugehen. Die Möglichkeit der Beeinflussung erscheint sowohl aufgrund der Eigenart der Beziehung zwischen dem Beschwerdeführer und C____ als auch der Tatsache, dass diese sich anlässlich der Einvernahme vom 18. August 2022 dahingehend geäussert hat, dass sie eine Wohngemeinschaft mit dem Beschwerdeführer nicht per se ausschliesse, umso wahrscheinlicher. In Anbetracht dieser Umstände besteht die Gefahr, dass A____ bei einer Haftentlassung auf C____ Einfluss nehmen und damit die Wahrheitsfindung im weiteren Strafverfahren erschweren oder gar verunmöglichen wird. Dies ist zu verhindern. Wie bereits erwähnt (vgl. dazu E. 4.2), erstaunt zwar, dass die Staatsanwaltschaft erst nach dem versuchten Einbruchdiebstahl vom 28. August 2022 Untersuchungshaft beantragt hat. Daraus kann der Beschwerdeführer indes nichts zu seinen Gunsten ableiten und es ist auch von Kollusionsgefahr auszugehen.</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Beschwerdeführer befindet sich seit dem 28. August 2022 in Haft. Aufgrund der diversen Vorhalte und der zur Diskussion stehenden Straftatbestände hat der Beschwerdeführer im Falle eines Schuldspruchs (soweit nicht von Schuldunfähigkeit auszugehen und eine Massnahme im Sinne von Art. 56 ff. des Strafgesetzbuches [StGB, SR 311.0] anzuordnen ist) mit einer Strafe zu rechnen, welche die angeordnete Untersuchungshaft von zehn Wochen deutlich übersteigen wird. Wie bereits erwähnt (vgl. dazu E. 5.2), hat der Beschwerdeführer bereits verschiedentlich manifestiert, dass er sich weder an Haus-, Rayon- oder Kontaktverbote hält und ihn auch an Ort und Stelle ausgesprochene polizeiliche Wegweisungen und kurzfristige Inhaftierungen nicht von einer Rückkehr an bestimmte Orte (wo sich C____ aufhält) abhalten können. Vor diesem Hintergrund fallen die beantragten Ersatzmassnahmen (Kontakt- und Rayonverbot) zum vornherein ausser Betracht. Die Leistung einer Kaution ist nur schon aufgrund der angenommenen Ausführungsgefahr ausgeschlossen, wobei auch nicht ersichtlich ist, aus welchen Mitteln der Beschwerdeführer eine solche leisten sollte.</w:t>
      </w:r>
    </w:p>
    <w:p>
      <w:r>
        <w:t>6.3Dass die Akteneinsicht zwar bereits mit Verfügung vom 23. August 2022 bewilligt wurde, die Akten dem Vertreter des Beschwerdeführers indes erst am 6. September 2022 zugestellt wurden, liegt  wie die Staatsanwaltschaft in ihrer Stellungnahme vom 6. September 2022 nachvollziehbar ausgeführt hat  schlicht daran, dass bis zum Haftantrag vom 29. August gleich mehrere neue Anzeigen bezüglich des Beschwerdeführers eingingen, welche es zu erfassen und zu bearbeiten galt, weshalb die Akten noch nicht gescannt und daher auch nicht früher zugestellt werden konnten. Dieser Umstand ist jedoch nicht der Staatsanwaltschaft, sondern dem Verhalten des Beschwerdeführers zuzuschreiben. Kommt dazu, dass der Verteidiger (und übrigens auch das Appellationsgericht) seit dem 6. September 2022 im Besitz der kompletten Verfahrensakten ist, seine Argumentation in der Replik vom 9. September 2022 indes nicht ergänzt hat, sodass der Beschwerdeführer in seinen Verteidigungsrechten nicht eingeschränkt war.</w:t>
      </w:r>
    </w:p>
    <w:p>
      <w:r>
        <w:rPr>
          <w:b/>
        </w:rPr>
        <w:t>E. 7</w:t>
      </w:r>
    </w:p>
    <w:p>
      <w:r>
        <w:t>7.1Aus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7.2Dem amtlichen Verteidiger, B____, ist ein Honorar gemäss seiner Aufstellung aus der Gerichtskasse auszurichten. Für die genaue Höhe wird auf das Dispositiv verwiesen.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