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HB.2022.24 vom 29. Juni 2022</w:t>
      </w:r>
    </w:p>
    <w:p>
      <w:r>
        <w:t>BS Appellationsgericht, 2022-06-29, DE</w:t>
      </w:r>
    </w:p>
    <w:p>
      <w:r>
        <w:rPr>
          <w:b/>
        </w:rPr>
        <w:t xml:space="preserve">Quelle: </w:t>
      </w:r>
      <w:r>
        <w:t>https://mcp.opencaselaw.ch/entscheid/bs_appellationsgericht_HB.2022.24</w:t>
      </w:r>
    </w:p>
    <w:p>
      <w:r>
        <w:t>FR: BS_APPELLATIONSGERICHT HB.2022.24 du 29 juin 2022</w:t>
      </w:r>
    </w:p>
    <w:p>
      <w:r>
        <w:t>IT: BS_APPELLATIONSGERICHT HB.2022.24 del 29 giugno 2022</w:t>
      </w:r>
    </w:p>
    <w:p>
      <w:pPr>
        <w:pStyle w:val="Heading2"/>
      </w:pPr>
      <w:r>
        <w:t>Erwägungen</w:t>
      </w:r>
    </w:p>
    <w:p>
      <w:r>
        <w:rPr>
          <w:b/>
        </w:rPr>
        <w:t>E. 1</w:t>
      </w:r>
    </w:p>
    <w:p>
      <w:r>
        <w:t>1.1Die verhaftete Person kann Entscheide des Zwangsmassnahmengerichts über die Anordnung bzw. Fortsetzung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 Diese Vor­aussetzungen sind im Haftbeschwerdeverfahren zu überprüfen. Nicht Gegenstand dieses Verfahrens sind hingegen die vom Beschwerdeführer geltend gemachten Mängel in der Verfahrensführung der Staatsanwaltschaft sowie die angeblich unzumutbaren Haftbedingungen, weshalb diesbezüglich nicht auf die Beschwerde einzutreten ist.</w:t>
      </w:r>
    </w:p>
    <w:p>
      <w:r>
        <w:t>2.2Die Vorinstanz hat einen dringenden Verdacht auf mengenmässig qualifizierten Betäubungsmittelhandel angenommen. Der dringende Tatverdacht wird in der Beschwerde nicht thematisiert und ist daher durch die Staatsanwaltschaft in ihrer Stellungnahme zu Recht als unbestritten bezeichnet worden.</w:t>
      </w:r>
    </w:p>
    <w:p>
      <w:r>
        <w:t>2.3Als Haftgrund hat die Vorinstanz Fluchtgefahr angenommen. Auch gegen diese Annahme hat sich der Beschwerdeführer nicht zur Wehr gesetzt. Sie ist denn auch klar gegeben: Der Beschwerdeführer hat im Falle eines Schuldspruchs mit einer mehrjährigen Freiheitsstrafe sowie ‒ als Kolumbianer mit spanischer Staatsangehörigkeit ohne familiäre Verbindungen in der Schweiz ‒ mit einer Landesverweisung zu rechnen, weshalb zu befürchten ist, dass er nach einer Haftentlassung ins Ausland fliehen oder untertauchen würde.</w:t>
      </w:r>
    </w:p>
    <w:p>
      <w:r>
        <w:t>2.4Mit der vorliegenden Haftbeschwerde wird die Verhältnismässigkeit der Haftverlängerung bestritten. Unter diesem Titel ist zu prüfen, ob die Dauer der ausgestandenen Untersuchungshaft nicht in grosse Nähe der bei einem Schuldspruch zu erwartenden Strafe rückt (BGE 124 I 208, E. 6). Dies ist aufgrund der gravierenden Vorwürfe im Bereich der Verbrechen gegen das Betäubungsmittelgesetz bei einer rund 15 Monate dauernden Untersuchungshaft noch nicht der Fall. Zu beachten ist hierbei auch der angenommene spezielle Haftgrund der Fluchtgefahr, denn diese ist regelmässig bis zum Haftantritt gegeben, wogegen der Haftgrund der Kollusionsgefahr nach der Durchführung einer Konfrontationseinvernahme entfallen kann.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(BGE 133 I 270 E. 3.4.2). Vorliegend ist nicht zu erkennen, dass das Verfahren nicht vorangetrieben würde. Die in der Beschwerde aufgestellte Behauptung, die Staatsanwaltschaft habe in ihrem Haftverlängerungsantrag vom 10. Januar 2022 die Haftverlängerung damit begründet, es seien noch mehrere Personen (darunter die Namen [...], [...] und [...]) einzuvernehmen, was dann aber gar nicht erfolgt sei, erweist sich als aktenwidrig: Die genannten Personen werden im Haftverlängerungsantrag zwar erwähnt, es wird aber ausgeführt, nach der Sichtung der umfangreichen Akten werde zu entscheiden sein, ob noch weitere Abklärungen, Ermittlungen und/oder Einvernahmen notwendig seien. Auch ging die Staatsanwaltschaft neben Kollusionsgefahr schon damals auch von Fluchtgefahr aus, woran die Durchführung noch ausstehender Befragungen nichts geändert hätte. Dass die Anklageschrift inzwischen in Teilen erstellt ist und sich die Staatsanwaltschaft einige Wochen Zeit ausbedingt, die Anklageschrift fertigzustellen, die Akten zu paginieren und das Inhaltsverzeichnis zu erstellen, zeigt, dass das Verfahren kurz vor der Überweisung ans Strafgericht steht.</w:t>
      </w:r>
    </w:p>
    <w:p>
      <w:r>
        <w:t>Die verlängerte Untersuchungshaft erweist sich somit als verhältnismässig, und es stehen auch keine Ersatzmassnahmen zur Verfügung, welche die Fluchtgefahr zuverlässig bannen könnten.</w:t>
      </w:r>
    </w:p>
    <w:p>
      <w:r>
        <w:t>2.6Nach dem Gesagten ist die Beschwerde kostenpflichtig abzuweisen.</w:t>
      </w:r>
    </w:p>
    <w:p>
      <w:r>
        <w:rPr>
          <w:b/>
        </w:rPr>
        <w:t>E. 3</w:t>
      </w:r>
    </w:p>
    <w:p>
      <w:r>
        <w:t>3.1Der Beschwerdeführer hat für das Haftbeschwerdeverfahren die unentgeltliche Rechtspflege beantragt. Da er die Eingaben persönlich bzw. wohl mithilfe einer Drittperson, nicht aber eines Anwalts, verfasst hat, muss sich dieser Antrag auf die ordentlichen Verfahrenskosten beziehen. Da Art. 29 Abs. 3 der Bundesverfassung (BV, SR 101) keine definitive Befreiung von den Kosten garantiert, können die Kosten des Rechtsmittelverfahrens in Anwendung von Art. 428 Abs. 1 StPO selbst dann auferlegt werden, wenn die Voraussetzungen zur Gewährung der unentgeltlichen Rechtspflege gegeben sind (BGer 6B_847/2017 vom</w:t>
      </w:r>
    </w:p>
    <w:p>
      <w:r>
        <w:rPr>
          <w:b/>
        </w:rPr>
        <w:t>E. 7</w:t>
      </w:r>
    </w:p>
    <w:p>
      <w:r>
        <w:t>Februar 2018 E. 5).</w:t>
      </w:r>
    </w:p>
    <w:p>
      <w:r>
        <w:t>3.2Die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