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HB.2021.21 vom 1. Oktober 2021</w:t>
      </w:r>
    </w:p>
    <w:p>
      <w:r>
        <w:t>BS Appellationsgericht, 2021-10-01, DE</w:t>
      </w:r>
    </w:p>
    <w:p>
      <w:r>
        <w:rPr>
          <w:b/>
        </w:rPr>
        <w:t xml:space="preserve">Quelle: </w:t>
      </w:r>
      <w:r>
        <w:t>https://mcp.opencaselaw.ch/entscheid/bs_appellationsgericht_HB.2021.21</w:t>
      </w:r>
    </w:p>
    <w:p>
      <w:r>
        <w:t>FR: BS_APPELLATIONSGERICHT HB.2021.21 du 1 octobre 2021</w:t>
      </w:r>
    </w:p>
    <w:p>
      <w:r>
        <w:t>IT: BS_APPELLATIONSGERICHT HB.2021.21 del 1 ottobre 2021</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in seiner Beschwerde nicht bestritten. Entsprechend kann hierzu auf die zutreffenden Ausführungen der Vorinstanz verwiesen werden (act. 1, S. 2).</w:t>
      </w:r>
    </w:p>
    <w:p>
      <w:r>
        <w:rPr>
          <w:b/>
        </w:rPr>
        <w:t>E. 4</w:t>
      </w:r>
    </w:p>
    <w:p>
      <w:r>
        <w:t>4.1Als besonderen Haftgrund hat die Vorinstanz zunächst Fluchtgefahr angenommen. Der Beschwerdeführer sei deutscher Staatsangehöriger. Er besitze zwar eine B-Aufenthaltsbewilligung, verfüge jedoch seit fünf bis sechs Jahren über keinen festen Wohnsitz in der Schweiz oder in Basel. Er sei lediglich beim Verein für Gassenarbeit «Schwarzer Peter» gemeldet. Seine Eltern und Geschwister lebten in Deutschland, bei denen er auch übernachte. Zu seinen Verwandten in der Schweiz pflege er wenig Kontakt und er sei überdies seit dem 18. August 2021 arbeitslos. Der Beschwerdeführer habe in der Schweiz mithin nur sehr eingeschränkte Zukunftsperspektiven und hätte im Falle eines Schuldspruchs mit einer obligatorischen Landesverweisung zu rechnen. Dadurch reduzierten sich seine Zukunftsaussichten zusätzlich und es bestehe für ihn die konkrete Möglichkeit, sich den hiesigen Strafverfolgungsbehörden durch Absetzen nach Deutschland zu entziehen. Da vorliegend noch weitere Abklärungen betreffend offener Sexualdelikte gegen Kinder notwendig seien, sei die Anwesenheit des Beschwerdeführers während diesen Ermittlungen unbedingt notwendig. Zudem sei die Durchführung eines Auslieferungsverfahrens oder die Zustellung einer Vorladung ins Ausland den Strafverfolgungsbehörden aufgrund des Aufwandes und der Langwierigkeit solcher Verfahren nicht zuzumuten.</w:t>
      </w:r>
    </w:p>
    <w:p>
      <w:r>
        <w:t>4.2Der Beschwerdeführer bestreitet in seiner Beschwerde demgegenüber das Vorliegen von Fluchtgefahr. Er würde im Falle einer Entlassung sofort im Männerhaus der Heilsarmee im Gundeli ein Zimmer mieten, um in Basel erreichbar zu bleiben. Zudem führt er in der Replik aus, dass nicht nachvollziehbar sei, weshalb er «beste» Verbindungen nach Deutschland habe. Er lebe in der Schweiz und habe auch hier seinen Lebensmittelpunkt sowie seinen gesamten Freundeskreis. Letzterer sei in seinem Alter auch viel wichtiger als seine Verwandten. Würde er ausreisen, so würde er auch keine Taggelder der Arbeitslosenkasse erhalten, weshalb er auch einen finanziellen Anreiz habe, um in der Schweiz zu bleiben. Auch könne momentan nicht gesagt werden, ob ihm als EU-Bürger die Niederlassungsbewilligung [gemeint wohl: Aufenthaltsbewilligung] auch im Falle einer Verurteilung tatsächlich entzogen würde.</w:t>
      </w:r>
    </w:p>
    <w:p>
      <w:r>
        <w:rPr>
          <w:b/>
        </w:rPr>
        <w:t>E. 4.3</w:t>
      </w:r>
    </w:p>
    <w:p>
      <w:r>
        <w:t>4.3.1Fluchtgefahr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S. 507;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S. 507; BGer 1B_369/2020 vom 5. August 2020 E. 2.2).</w:t>
      </w:r>
    </w:p>
    <w:p>
      <w:r>
        <w:t>4.3.2Die Ausführungen, die der Beschwerdeführer gegen das Vorliegen von Fluchtgefahr vorbringt, sind unbehelflich. Zum einen wird ihm unter anderem sexuelle Nötigung zur Last gelegt. Gemäss Art. 189 StGB wird diese mit Freiheitsstrafe bis zu zehn Jahren oder Geldstrafe bestraft. Da dem Beschwerdeführer noch weitere Delikte (Freiheitsberaubung und Entführung sowie sexuelle Handlungen mit Kindern) zur Last gelegt werden, erweitert sich der Strafrahmen gemäss Art. 49 Abs. 1 StGB auf bis zu 15 Jahre Freiheitsstrafe. Der Beschwerdeführer hätte vorliegend aufgrund der Vorwürfe mit einer nicht nur geringfügigen Strafe zu rechnen, weshalb ein nicht unerheblicher Fluchtanreiz besteht.</w:t>
      </w:r>
    </w:p>
    <w:p>
      <w:r>
        <w:t>Zum anderen bestreitet er, «beste» Verbindungen nach Deutschland zu haben. Vielmehr sei die Schweiz bzw. Basel sein Lebensmittelpunkt und auch sein Freundeskreis sei hier. Was diesen vom Beschwerdeführer angesprochenen Umstand der sozialen Verwurzelung betrifft, so ist er mit seinen Ausführungen ebenfalls nicht zu hören. Belegt ist zunächst, dass keine stabilen Wohnverhältnisse vorliegen. So führt bereits die Vorinstanz zutreffend aus, dass er seit fünf bis sechs Jahren über keinen festen Wohnsitz in der Schweiz oder in Basel verfügt. Er sei lediglich beim Verein für Gassenarbeit «Schwarzer Peter» gemeldet, übernachtet habe er jedoch gemäss eigenen Aussagen während der Covid-19 Pandemie grösstenteils bei seiner Familie (Eltern und Geschwister) in Weil am Rhein (act. 3, Verfahrensakten PDF S. 16, 66). Zwar habe er etwa Cousins, die in der Schweiz lebten, mit diesen habe er  im Gegensatz zu den Eltern  aber weniger Kontakt (act. 3, Verfahrensakten PDF S. 17). Bezeichnend ist denn auch, dass der Beschwerdeführer seine in Deutschland wohnhafte Schwester als Kontaktperson angab, die über seine Festnahme benachrichtigt werden solle (act. 3, Verfahrensakten PDF S. 51). Erstellt ist demnach, dass der Beschwerdeführer zu Melde- bzw. Wohnverhältnissen neigt, die eine Kontaktaufnahme erschweren. Diesbezüglich wäre es dem Beschwerdeführer auch ein Leichtes, in der Schweiz selbst unterzutauchen. Zudem würde es ihm aufgrund seiner in Weil am Rhein wohnhaften Familie, die allem Anschein nach in Notsituationen seine Anlaufstelle darstellt (und nicht, wie von ihm behauptet, seine Freunde), nicht schwerfallen sich dem Strafverfahren ins nahegelegene Ausland zu entziehen. Für die Fluchtgefahr ist diesbezüglich auch nicht entscheidend, wie nahe jemand im Ausland Beziehungen hat. Auch bei Beschuldigten, die im nahen Ausland leben, besteht die Gefahr des Untertauchens und der damit verbundenen Erschwerung bzw. Verunmöglichung, eine solche Person dem Strafverfahren zuzuführen (AGE HB.2018.29 vom 25. Juni 2018 E. 2, HB.2017.3 vom 22. Februar 2017 E. 4.3). Zudem ist der Beschwerdeführer deutscher Staatsbürger und würde bei einer Flucht nach Deutschland von seinem Heimatland wohl nicht ausgeliefert.</w:t>
      </w:r>
    </w:p>
    <w:p>
      <w:r>
        <w:t>Eine weitere entscheidende Rolle spielt zudem die berufliche und finanzielle Situation des Beschwerdeführers. So ist unklar, ob die Voraussetzungen des Beschwerdeführers für Arbeitslosentaggelder  und damit für den «finanziellen Anreiz», in der Schweiz zu bleiben  momentan überhaupt erfüllt sind. Es liegen, so weit ersichtlich, keine Dokumente vor, die seinen Anspruch auf entsprechende Taggelder belegen würden. So gab er auch noch in der Einvernahme vom 5. September 2021 an, keine Arbeitslosenentschädigung zu beziehen (act. 3, Verfahrensakten PDF S. 18). Zudem behauptete der Beschwerdeführer auch, dass er im August 2021 bei seiner alten Arbeitgeberin fristlos entlassen worden sei, da er mehrmals krank gewesen sei (ZMG-Verhandlung, act. 3, Verfahrensakten PDF S. 66). Dem Grund der Kündigung widerspricht jedoch die Firma [...], welche angab, dass die Entlassung aufgrund von Unzuverlässigkeit des Beschwerdeführers sowie wegen Schulden beim Betrieb erfolgt sei (vgl. act. 3, Verfahrensakten PDF S. 191). Entsprechend kann auch keinesfalls davon ausgegangen werden, dass der Beschwerdeführer die neue Arbeitsstelle bei der [...], für die er ein Vorstellungsgespräch gehabt hätte, auch erhalten hätte. Im Ergebnis ist demnach von unklaren bzw. nicht vorhandenen Arbeitsverhältnissen beim Beschwerdeführer auszugehen.</w:t>
      </w:r>
    </w:p>
    <w:p>
      <w:r>
        <w:t>Sofern der Berufungskläger noch vorbringt, dass er bis anhin noch nie wegen eines Strafverfahrens geflüchtet sei und es auch in diesem Verfahren nicht tun werde, so ist dem entgegenzuhalten, dass die in diesem Strafverfahren gegen ihn erhobenen Vorwürfe eine andere Qualität aufweisen, als in den bisher gegen ihn ergangenen rechtskräftigen Urteilen, weshalb in Bezug auf eine allfällige Fluchtneigung nicht auf einen solchen Vergleich abgestellt werden kann.</w:t>
      </w:r>
    </w:p>
    <w:p>
      <w:r>
        <w:t>Der Haftgrund der Fluchtgefahr ist somit gegeben.</w:t>
      </w:r>
    </w:p>
    <w:p>
      <w:r>
        <w:rPr>
          <w:b/>
        </w:rPr>
        <w:t>E. 5</w:t>
      </w:r>
    </w:p>
    <w:p>
      <w:r>
        <w:t>Das VorliegeneinesHaftgrundes ist für die Anordnung und Aufrechterhaltung von Untersuchungshaft ausreichend. Entsprechend erübrigen sich Ausführungen zum Haftgrund der Fortsetzungsgefahr.</w:t>
      </w:r>
    </w:p>
    <w:p>
      <w:r>
        <w:rPr>
          <w:b/>
        </w:rPr>
        <w:t>E. 6</w:t>
      </w:r>
    </w:p>
    <w:p>
      <w:r>
        <w:t>6.1Der Beschwerdeführer ist weiter der Auffassung, dass mildere Massnahmen (als die Aufrechterhaltung der Untersuchungshaft) zu Verfügung stünden. So sei die Möglichkeit der Zahlung einer Kaution in Betracht zu ziehen, ebenso wäre er auch bereit, regelmässig bei der Polizei oder Staatsanwaltschaft gegen Unterschrift seine Anwesenheit zu bestätigen. Schliesslich bringt er auch vor, dass auf sein Vorbringen vor dem Zwangsmassnahmengericht, dass er unter der Auflage, einer geregelten Arbeit nachzugehen, freizulassen sei, mit keinem Wort eingegangen worden sei. Dies stelle eine Verletzung des Anspruchs auf rechtliches Gehör dar.</w:t>
      </w:r>
    </w:p>
    <w:p>
      <w:r>
        <w:t>6.2Nach Art. 237 Abs. 1 StPO ordnet das Gericht an Stelle der 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w:t>
      </w:r>
    </w:p>
    <w:p>
      <w:r>
        <w:t>6.2.1Mildere Ersatzmassnahmen für Haft  wie etwa die vom Beschwerdeführer beantragte Meldepflicht oder auch eine Schriftensperre  können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Vorliegend ist gemäss den obigen Ausführungen nicht nur von einer niederschwelligen Fluchtneigung auszugehen. Eine Schriftensperre könnte eine Flucht oder ein Untertauchen des Beschwerdeführers daher nicht verhindern. Dies umso weniger, als sich der Beschwerdeführer problemlos über die nahe Grenze nach Deutschland absetzen und dort einen neuen Pass beantragen könnte. Auch bildet etwa die Schriftensperre nach bundesgerichtlicher Rechtsprechung innerhalb des Schengenraumes keine taugliche Ersatzmassnahme, da aufgrund fehlender Personenkontrollen an den Landesgrenzen eine Aus- bzw. Einreise problemlos möglich ist (BGer 1B_362/2019 vom 17. September 2019 E. 3.2). Auch die beantragte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S. 510).</w:t>
      </w:r>
    </w:p>
    <w:p>
      <w:r>
        <w:t>6.2.2Der Beschwerdeführer bringt ferner vor, dass er durch seine Arbeitslosenentschädigung eine Kaution bezahlen könnte.</w:t>
      </w:r>
    </w:p>
    <w:p>
      <w:r>
        <w:t>Gemäss Art. 238 Abs. 1 StPO kann das zuständige Gericht bei Fluchtgefahr die Leistung eines Geldbetrages vorsehen, der sicherstellen soll, dass die beschuldigte Person sich jederzeit zu Verfahrenshandlungen oder zum Antritt einer freiheitsentziehenden Sanktion einstellt. Die gesetzliche «Kann-»Bestimmung zeigt hierbei auf, das dem Gericht ein weiter Ermessensspielraum zukommt. Eine Haftentlassung gegen Kaution käme nur in Frage, wenn die Sicherheitsleistung tatsächlich geeignet wäre, den Beschwerdeführer von einer Flucht abzuhalten. Vorliegend sprechen folgende Gründe gegen die Festsetzung einer Sicherheitsleistung als mildere Massnahme: Einerseits fällt nach der Rechtsprechung des Bundesgerichts bei mittellosen Beschuldigten eine Haftkaution als wirksame Ersatzmassnahme grundsätzlich ausser Betracht (vgl. BGer 1B_149/2017 vom 5. Mai 2017 E. 5.2, 1B_325/2014 vom 16. Oktober 2014 E. 3.5). Der Beschwerdeführer hat gemäss eigenen Aussagen weder ein Einkommen noch Vermögenswerte (vgl. act. 3, Verfahrensakten PDF S. 18). Wie bereits festgehalten wurde, ist auch nicht belegt, dass er die Voraussetzungen erfüllt, um eine Arbeitslosenentschädigung zu erhalten. Auch eine allfällige Drittkaution durch seine Familie würde keine wirksame Ersatzmassnahme darstellen, da ihn ein Verlust des Geldes nicht unmittelbar treffen würde und entsprechend der drohende Verfall der Drittkaution keinen handfesten Beweggrund gegen eine Flucht darstellt. Daher ist auch eine Sicherheitsleistung als Ersatzmassnahme nicht geeignet, das Untertauchen des Beschwerdeführers zu verhindern.</w:t>
      </w:r>
    </w:p>
    <w:p>
      <w:r>
        <w:t>6.2.3Hinsichtlich des Vorbringens des Beschwerdeführers, sein rechtliches Gehör sei in Bezug auf sein Vorbringen vor dem Zwangsmassnahmengericht, er sei unter der Auflage, einer geregelten Arbeit nachzugehen, freizulassen, verletzt worden, gilt es Folgendes festzuhalten:</w:t>
      </w:r>
    </w:p>
    <w:p>
      <w:r>
        <w:t>Gemäss Art. 29 Abs. 2 BV haben die Parteien einen Anspruch auf rechtliches Gehör, welcher die Pflicht der Behörden beinhaltet,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Hinsichtlich des Haftverfahrens hält Art. 226 Abs. 2 StPO des Weiteren explizit fest, dass der Entscheid des Zwangsmassnahmengerichts mit einer kurzen schriftlichen Begründung zu versehen ist. Nicht erforderlich hingegen ist, dass der Entscheid sich mit sämtlichen Parteistandpunkten einlässlich auseinandersetzt und jedes einzelne Vorbringen der Parteien ausdrücklich widerlegt. Vielmehr kann  und muss im Hinblick auch auf die Verfahrensökonomie (gerade in zeitlich dringlichen Haftverfahren; vgl. zit. Art. 226 Abs. 2 StPO) und auf die Verständlichkeit des Entscheids  sich die Strafbehörde auf die für den Entscheid wesentlichen Gesichtspunkte beschränken (vgl. BGE 136 I 229 E. 5.2 S. 236; BGer 1B_767/2012 vom 23. Januar 2013 E. 2.2;Stohner, in: Basler Kommentar, 2. Auflage, Basel 2014, Art. 81 StPO N 9).</w:t>
      </w:r>
    </w:p>
    <w:p>
      <w:r>
        <w:t>Der angefochtene Entscheid präsentiert sich vorliegend zwar textlich nicht umfangreich, enthält aber eine klare und in jeder Hinsicht nachvollziehbare Begründung, dass und aus welchen Gründen die Untersuchungshaft für zunächst zwölf Wochen angeordnet worden ist. Die Vorinstanz legt dar, worauf sich der dringende Tatverdacht stützt, woraus sich die Fluchtgefahr ableitet und dass die Verhängung der Untersuchungshaft auch verhältnismässig ist. Somit musste das Zwangsmassnahmengericht auch nicht zu jedem Vorbringen des Beschwerdeführers Stellung nehmen, zumal er die beantragte Freilassung gestützt auf die Auflage, einer geregelten Arbeit nachzugehen, auch nur beispielhaft erwähnte (vgl. act. 3, Verfahrensakten PDF S. 68). Eine Verletzung der Begründungspflicht und des Gehörsanspruchs des Beschwerdeführers ist somit nicht ersichtlich.</w:t>
      </w:r>
    </w:p>
    <w:p>
      <w:r>
        <w:t>Selbst wenn der Gehörsanspruch des Beschwerdeführers verletzt worden wäre  wovon nach dem Gesagten nicht auszugehen ist , so wäre diese Verletzung im Rahmen des vorliegenden Beschwerdeverfahrens ohnehin geheilt. Eine  nicht besonders schwerwiegende  Verletzung des rechtlichen Gehörs kann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 die vom Beschwerdeführer auch gar nicht beantragt wird 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BGer 1B_767/2012 vom 23. Januar 2013 E. 2.4).</w:t>
      </w:r>
    </w:p>
    <w:p>
      <w:r>
        <w:t>In casu ist denn auch zum Vorbringen des Beschwerdeführers vor dem Zwangsmassnahmengericht festzuhalten, dass aufgrund seiner vorliegenden Fluchtneigung das Aussprechen der Auflage, einer geregelten Arbeit nachzugehen, seine Flucht oder ein Untertauchen nicht verhindern würde (vgl. vorne E. 6.2.1). Wie bereits festgehalten wurde, ist denn auch unklar, ob der Beschwerdeführer die Stelle bei der [...] überhaupt bekommen hätte. Wäre er etwa freigelassen worden und hätte er eine Stellenabsage bekommen, so hätte er sich problemlos den Strafverfolgungsbehörden entziehen können.</w:t>
      </w:r>
    </w:p>
    <w:p>
      <w:r>
        <w:rPr>
          <w:b/>
        </w:rPr>
        <w:t>E. 7</w:t>
      </w:r>
    </w:p>
    <w:p>
      <w:r>
        <w:t>Nicht vom Beschwerdeführer gerügt wird die sonstige Verhältnismässigkeit der Untersuchungshaft. Entsprechend kann auf die zutreffenden Ausführungen des Zwangsmassnahmengerichts verwiesen werden (act. 1 S. 4).</w:t>
      </w:r>
    </w:p>
    <w:p>
      <w:r>
        <w:rPr>
          <w:b/>
        </w:rPr>
        <w:t>E. 8</w:t>
      </w:r>
    </w:p>
    <w:p>
      <w:r>
        <w:t>8.1Aus dem Gesagten ergibt sich, dass die Beschwerde gegen die Anordnung von Untersuchungshaft abzuweisen ist.</w:t>
      </w:r>
    </w:p>
    <w:p>
      <w:r>
        <w:t>8.2Bei diesem Ausgang des Verfahrens hat der Beschwerdeführer dessen ordentliche Kosten mit einer Gebühr von CHF 800. (einschliesslich Auslagen) zu tragen (Art. 428 Abs. 1 StPO in Verbindung mit § 21 Abs. 2 des Gerichtsgebührenreglements [GGR, SG 154.810]).</w:t>
      </w:r>
    </w:p>
    <w:p>
      <w:r>
        <w:rPr>
          <w:b/>
        </w:rPr>
        <w:t>E. 9</w:t>
      </w:r>
    </w:p>
    <w:p>
      <w:r>
        <w:t>Dem amtlichen Verteidiger ist schliesslich ein angemessenes Honorar aus der Gerichtskasse auszurichten. Diesbezüglich erscheint ein Aufwand von drei Stunden à CHF 200. (inklusive Auslagen, zzgl. MWST) als angemessen.</w:t>
      </w:r>
    </w:p>
    <w:p>
      <w:r>
        <w:t>Dem amtlichen Verteidiger, [...], Advokat wird damit im Ergebnis für das Beschwerdeverfahren ein Honorar von CHF 600. zuzüglich 7,7% MWST von CHF 46.20, somit total CHF 646.20, aus der Gerichtskasse ausgerichtet.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