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HB.2021.12 vom 18. Mai 2021</w:t>
      </w:r>
    </w:p>
    <w:p>
      <w:r>
        <w:t>BS Appellationsgericht, 2021-05-18, DE</w:t>
      </w:r>
    </w:p>
    <w:p>
      <w:r>
        <w:rPr>
          <w:b/>
        </w:rPr>
        <w:t xml:space="preserve">Quelle: </w:t>
      </w:r>
      <w:r>
        <w:t>https://mcp.opencaselaw.ch/entscheid/bs_appellationsgericht_HB.2021.12</w:t>
      </w:r>
    </w:p>
    <w:p>
      <w:r>
        <w:t>FR: BS_APPELLATIONSGERICHT HB.2021.12 du 18 mai 2021</w:t>
      </w:r>
    </w:p>
    <w:p>
      <w:r>
        <w:t>IT: BS_APPELLATIONSGERICHT HB.2021.12 del 18 maggio 2021</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der Schweizerischen Strafprozessordnung [StPO, SR 312.0]). Zuständiges Beschwerdegericht ist das Appellationsgericht als Einzelgericht (§ 88 Abs. 1 i.V.m.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 zum Tatverdacht aus, mit Vorliegen der Anklageschrift sei praxisgemäss von einem hinreichenden Tatverdacht auszugehen. In casu liege die Anklageschrift vor und die hinreichende Dringlichkeit des Verdachts auf mehrfachen Diebstahl, mehrfache Sachbeschädigung und mehrfachen Hausfriedensbruch (alles teilweise versucht) werde nicht bestritten, so dass davon auszugehen sei, dass die Grundlage für die Anordnung der Sicherheitshaft gegeben ist.</w:t>
      </w:r>
    </w:p>
    <w:p>
      <w:r>
        <w:t>Der Beschwerdeführer bestreitet in der Beschwerdeschrift das Vorliegen eines dringenden Tatverdachtes nicht. Er hält  und dies notabene in Zusammenhang mit der Fluchtgefahr  lediglich fest, er wisse nicht von allen Diebstählen. Auch seine Verteidigerin bestreitet in der Eingabe vom 12. Mai 2021 lediglich das Vorliegen von Fluchtgefahr. Es kann unter diesen Umständen mit entsprechend kurzen Bemerkungen zum dringenden Tatverdacht sein Bewenden haben.</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HB.2021.6 vom 3. März 2021 E. 3.4.1 mit Hinweisen; vgl. auchZimmerlin, in: Donatsch et al. [Hrsg.], Kommentar zur StPO, 3. Aufl., Zürich 2020, Art. 197 N 14). Eine Ausnahme ist nur dann zu machen, wenn der Angeschuldigte im Haftprüfungs- oder Haftbeschwerdeverfahren darzutun vermag, dass die Annahme eines dringenden Tatverdachts unhaltbar ist (vgl. BGer 1P.72/2002 vom 27. Februar 2002 E. 2.3; AGE HB.2021.6 vom 3. März 2021 E. 3.4.1 mit Hinweis).</w:t>
      </w:r>
    </w:p>
    <w:p>
      <w:r>
        <w:t>3.3Mit der Anklageerhebung vom 20. April Februar 2021 durch die Staatsanwaltschaft beim Strafgericht Basel-Stadt ist das Vorliegen eines dringenden Tatverdachts bezüglich der angeklagten Delikte vermutungsweise gegeben. Der Beschwerdeführer setzt sich, wie erwähnt, mit dem dringenden Tatverdacht nicht auseinander und bestreitet diesen insbesondere nicht. Angesichts der Aktenlage ist die Annahme eines dringenden Tatverdachts bezüglich der angeklagten Delikte auch keineswegs unhaltbar, sondern im Gegenteil durchaus begründet. So zeigt sich der Beschwerdeführer, jedenfalls in Bezug auf einzelne Delikte, durchaus geständig (vgl. Einvernahmen vom 5. März 2021, Akten S. 194 ff., vom 15. April 2021, Akten S. 251 ff.) und es liegen in einem Fall offenbar Videoaufnahmen des Beschwerdeführers im Bereich des Tatorts vor (vgl. Akten S. 252 ff.). Angesichts der Aktenlage besteht somit dringender Tatverdacht bezüglich der angeklagten Delikte.</w:t>
      </w:r>
    </w:p>
    <w:p>
      <w:r>
        <w:rPr>
          <w:b/>
        </w:rPr>
        <w:t>E. 4</w:t>
      </w:r>
    </w:p>
    <w:p>
      <w:r>
        <w:t>4.1Als besonderen Haftgrund hat die Vorinstanz Fluchtgefahr angenommen. Der Beschwerdeführer sei [...] Staatsangehöriger, gemäss eigenen Angaben in [...] aufgewachsen, wo er auch die Schulen durchlaufen und studiert habe. Er habe von 2016 bis Mitte 2018 in der Schweiz und von Mitte bis Ende 2020 in Deutschland gearbeitet, wo er seit Herbst 2020 in einem Methadonprogramm gestanden sei. Er sei circa 2  3 Wochen vor seiner Anhaltung in die Schweiz gekommen und lebe seither bei seiner Freundin an der [...]strasse. Mit einer früheren Partnerin habe er offenbar eine Tochter. Die Staatsanwaltschaft beantrage eine unbedingte Freiheitsstrafe und einen Landesverweis; ein Landesverweis sei bei einem Schuldspruch wegen Diebstahls in Kombination mit Hausfriedensbruch obligatorisch. Die Aussichten des Beschwerdeführers, sich in der Schweiz niederlassen zu können, seien derart gering, dass ernsthaft zu befürchten sei, dass er die Schweiz im Fall einer Haftentlassung verlässt, ohne das Urteil, mit welchem ihm ein nicht unerheblicher Freiheitsentzug droht, abzuwarten.</w:t>
      </w:r>
    </w:p>
    <w:p>
      <w:r>
        <w:t>Der Beschwerdeführer macht zusammengefasst geltend, dass er in die Schweiz zurückgekehrt sei, im Wissen darum, dass er polizeilich gesucht wurde. Er habe gedacht, es gehe um eine Geldstrafe in Zusammenhang mit 3 Diebstählen. Nach seiner Entlassung habe er einen festen Wohnsitz bei seiner Partnerin B____ an der [...]strasse [...] und er wolle mit seiner Partnerin und seiner kleinen Tochter  von einer anderen früheren Partnerin , die er aus [...] holen wolle, hier in Basel den Sommer über leben, bis er die Strafe antreten müsse. Er werde bestimmt nicht flüchten, denn während des Vollzugs der Freiheitsstrafe könne er mehr Geld verdienen und sparen - und damit die Familie und sein Kind unterstützen -, als wenn er irgendwohin flüchten würde. Die beantragten 5 Jahre Landesverweis erschienen zwar übertrieben, aber er wende sich vor allem gegen die Fluchtgefahr.</w:t>
      </w:r>
    </w:p>
    <w:p>
      <w:r>
        <w:t>Die Staatsanwaltschaft weist in ihrer Stellungnahme insbesondere darauf hin, dass die Wohnsituation des Beschwerdeführers in Basel unklar sei, zumal wenig über die Beziehung des Beschwerdeführers und seiner Partnerin bekannt sei. Es müsse zumindest bezweifelt werden, ob für den Beschwerdeführer überhaupt die Möglichkeit bestehe, sich künftig dauerhaft in der Schweiz aufzuhalten respektive sich niederzulassen. Ausserdem habe der Beschwerdeführer selbst festgehalten, er wäre nicht in die Schweiz gekommen, wenn er gewusst hätte, dass ihn hier ein derart umfangreiches Strafverfahren erwarte.</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w:t>
      </w:r>
    </w:p>
    <w:p>
      <w:r>
        <w:rPr>
          <w:b/>
        </w:rPr>
        <w:t>E. 4.3</w:t>
      </w:r>
    </w:p>
    <w:p>
      <w:r>
        <w:t>4.3.1Dem Beschwerdeführer werden zusammengefasst mehrfacher Diebstahl, teilweise versucht und teilweise geringfügig, mehrfache, teilweise geringfügige Sachbeschädigung und mehrfacher, teilweise versuchter Hausfriedensbruch zur Last gelegt. Die Staatsanwaltschaft beantragt eine unbedingte Freiheitsstrafe von einem Jahr. Der Beschwerdeführer hat mithin im Falle einer Verurteilung mit einer nicht nur geringfügigen Strafe zu rechnen, weshalb für ihn ein nicht unerheblicher Fluchtanreiz besteht.</w:t>
      </w:r>
    </w:p>
    <w:p>
      <w:r>
        <w:t>Der Beschwerdeführer bringt vor, er sei etwa 2 oder 3 Wochen vor seiner Festnahme wieder in die Schweiz zurückgekehrt, obwohl er gewusst habe, dass die Polizei ihn suchte (vgl. Akten S. 5, act. 2). Seine Aussage, er wäre (doch) nicht in die Schweiz zurückgekommen, wenn er gewusst hätte, dass er so viel gestohlen hätte, lässt sich zwar allenfalls im Sinne der Verteidigung als reine Unschuldsbeteuerung interpretieren (Akten S. 230; vgl. act 8). Seine weitere Aussage: «Hätte ich gewusst, dass man mich wegen so vielen Fällen beschuldigt, wäre ich gar nicht mehr zurückgekommen» (Akten S. 244), ist hingegen klar  und deutet eben durchaus auf Fluchtgelüste im Falle einer Freilassung hin.</w:t>
      </w:r>
    </w:p>
    <w:p>
      <w:r>
        <w:t>4.3.2Der Beschwerdeführer ist [...] Staatsangehöriger, gemäss eigenen Angaben in [...] geboren und aufgewachsen und nennt [...], [...], Schweiz und Deutschland als frühere Wohnorte. Seine nächsten Verwandten wohnen laut seinen Angaben in [...], [...] und Deutschland, auch seine Tochter lebe zurzeit in Deutschland (Akten S. 241) respektive gemäss seinen Angaben im Beschwerdeverfahren in [...] (vgl. act. 5). Er verfügt also über zahlreiche soziale und familiäre Bindungen und Beziehungen in diversen Ländern im Ausland. Er hat selbst bereits in mehreren Ländern gelebt und dürfte sich dort entsprechend gut zurechtfinden.</w:t>
      </w:r>
    </w:p>
    <w:p>
      <w:r>
        <w:t>4.3.3Demgegenüber hat der Beschwerdeführer aktuell offensichtlich keine familiären Bindungen und auch nur wenige soziale Beziehungen in der Schweiz. Auch wenn er in den Jahren 2016 bis 2018 offenbar in der Schweiz gelebt und gearbeitet hat, ist er erst wenige Wochen vor seiner Festnahme wieder in die Schweiz eingereist. Er ist bei seiner Freundin B____ untergekommen und hat hier offensichtlich keine Arbeitsstelle. Die Beziehung zu dieser aktuellen Partnerin, die über 20 Jahre älter als der Beschwerdeführer ist (vgl. Akten S. 124), scheint (noch) nicht sonderlich gefestigt. So will der Beschwerdeführer, trotz dieser Beziehung, am 12. Februar 2021 mit einer jungen Frau (C____), an deren Namen er sich nicht erinnere, angeblich einer Prostituierten, spazieren gegangen sein, die ihn eingeladen habe, die gefährlich sei, die ihn zum Freund haben wolle, und die er durch diesen Spaziergang habe loswerden wollen (Akten S. 253 ff.). B____ erwähnt im Schreiben vom 8. April 2021, in welchem sie vor allem die Miete einer Wohnung, offenbar an der [...]strasse [...], bestätigt, auch mehrfach eine Liebesbeziehung des Beschwerdeführers mit einer «D____» (act. 3). Bei «D____» handelt es sich mutmasslich um eine frühere Partnerin des Beschwerdeführers, so gab dieser in der Einvernahme vom 5. März 2021, auf Frage nach dem Namen seiner (früheren) Freundin an: «[...] D____» (vgl. Akten S. 195). Diese ist offenbar auch die Mutter der Tochter des Beschwerdeführers, welche gemäss dessen Angabe [...] heisst und [...] 2018 geboren sei (vgl. act. 5; vgl. auch Akten S. 195, 198, 144). Unter diesen Umständen scheint die Beziehung des Beschwerdeführers zu B____ jedenfalls (noch) nicht sonderlich gefestigt zu sein und scheinen die Pläne des Beschwerdeführers, mit dieser Frau und der kleinen Tochter in Basel zusammenzuleben, wenig ausgegoren. So ist auch fraglich, ob der Beschwerdeführer seine Tochter, die ja gemäss Akten offenbar nicht bei ihm gelebt hat, überhaupt zu sich holen könnte.</w:t>
      </w:r>
    </w:p>
    <w:p>
      <w:r>
        <w:t>Inbesondere aber weist die Vorinstanz richtig darauf hin, dass, sollte der Beschwerdeführer wegen Diebstahls in Verbindung mit Hausfriedensbruch verurteilt werden, obligatorisch ein Landesverweis auszusprechen ist (vgl. Art. 66aAbs. 1 lit. d StGB). Es sind, jedenfallsprima vista, auch keine Umstände ersichtlich, welche einen Härtefall im Sinne von Art. 66aAbs. 2 StGB begründen könnten. Der Berufungskläger hat somit kaum realistische Aussichten, in absehbarer Zukunft in der Schweiz leben respektive sich gar hier niederlassen zu können. Dessen scheint er sich durchaus bewusst zu sein, hält er doch in seiner Beschwerde fest, dass ihm fünf Jahre Landesverweisung zwar eher hoch erschienen und dass man dies auch «überdenken» könne, er dies aber akzeptiere.</w:t>
      </w:r>
    </w:p>
    <w:p>
      <w:r>
        <w:t>Auch angesichts der fehlenden sozialen und familiären Beziehungen und der fehlenden Zukunftsaussichten des Beschwerdeführers in der Schweiz besteht ein grosser Anreiz zur Flucht.</w:t>
      </w:r>
    </w:p>
    <w:p>
      <w:r>
        <w:t>4.3.4Das Argument des Beschwerdeführers, er würde wegen der guten Verdienstmöglichkeiten im schweizerischen Strafvollzug nicht flüchten, ist nicht stichhaltig. Ganz abgesehen davon, dass die Verdienstmöglichkeiten in Freiheit  auch im Ausland  wohl besser sind als in einem Schweizer Gefängnis, würde der Beschwerdeführer, ginge es ihm um die Verdienstmöglichkeiten im Vollzug, ja ein Gesuch um vorzeitigen Strafvollzug und nicht um Haftentlassung stellen. Der Umstand, dass der Beschwerdeführer gemäss eigenen Angaben in der Untersuchungshaft das Methadon hat reduzieren können, ist sehr erfreulich, steht der Annahme von Fluchtgefahr indes auch nicht entgegen.</w:t>
      </w:r>
    </w:p>
    <w:p>
      <w:r>
        <w:t>4.4.     Zusammengefasst ist festzuhalten, dass angesichts der Anklageschrift und der von der Staatsanwaltschaft beantragten Freiheitsstrafe für den Beschwerdeführer ein nicht unerheblicher Fluchtanreiz besteht. Der Beschwerdeführer verfügt über familiäre und soziale Beziehungen und Bindungen in mehreren ausländischen Ländern. Demgegenüber hat er in der Schweiz, neben einer noch nicht gefestigt erscheinenden Liebesbeziehung zu einer wesentlich älteren Frau, keine sozialen und familiären Beziehungen, auch keine Arbeitsstelle. Zudem muss er im Falle einer Verurteilung ernstlich mit einer Landesverweisung rechnen und hat nur sehr geringe Aussichten, künftig in der Schweiz leben zu können. Es ist unter diesen Umständen mit grosser Wahrscheinlichkeit davon auszugehen, dass sich der Beschwerdeführer im Falle einer Entlassung rasch durch Untertauchen im Inland oder insbesondere durch Flucht ins Ausland  er hat notabene gute Verbindungen gleich in mehrere Länder  dem weiteren Verfahren und dem Strafvollzug in der Schweiz entziehen würde.</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aufzuheben, sobald Ersatzmassnahmen zum gleichen Ziel führen (Art. 197 Abs. 1 lit. c und Art. 212 Abs. 2 lit. c StPO). Das Zwangsmassnahmengericht darf die Sicherheitshaft ausserdem nur solange erstrecken, als ihre Dauer nicht in grosse Nähe der konkret zu erwartenden Strafe rückt (Art. 212 Abs. 3 StPO).</w:t>
      </w:r>
    </w:p>
    <w:p>
      <w:r>
        <w:t>5.2Hinsichtlich der Ersatzmassnahme einer Kaution hält das Zwangsmassnahmengericht fest, dass diese vorliegend nicht geeignet sei, Fluchtgefahr wirksam zu bannen. In Bezug auf die Haftdauer führt die Vorinstanz aus, dass sich der Beschwerdeführer seit dem 4. März 2021 in Haft befinde. Bis zum Ablauf der angeordneten Sicherheitshaft dauere der Freiheitsentzug nicht ganz 5 Monate und liege noch deutlich unter der von der Staatsanwaltschaft geforderten Strafe.</w:t>
      </w:r>
    </w:p>
    <w:p>
      <w:r>
        <w:t>Der Beschwerdeführer macht geltend, dass einer allfälligen Fluchtgefahr mit Ersatzmassnahmen wie namentlich einer elektronischen Fussfessel oder einer (wöchenlichen) Meldepflicht entgegengewirkt werden könne, und dass seine Freundin für ihn «garantieren» könne.</w:t>
      </w:r>
    </w:p>
    <w:p>
      <w:r>
        <w:rPr>
          <w:b/>
        </w:rPr>
        <w:t>E. 5.3</w:t>
      </w:r>
    </w:p>
    <w:p>
      <w:r>
        <w:t>5.3.1Nach Art. 237 Abs. 1 StPO ordnet das Gericht an Stelle der 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t>5.3.2Vorliegend ist gemäss den obigen Ausführungen nicht nur von einer niederschwelligen Fluchtneigung auszugehen. Auch die vorgeschlagene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S. 510). Auch eine Pass- und Schriftensperre, so sei der Vollständigkeit halber angefügt, könnte eine Flucht des Beschwerdeführers nicht verhindern (vgl. BGE 145 IV 503 E. 3.2 S. 310).</w:t>
      </w:r>
    </w:p>
    <w:p>
      <w:r>
        <w:t>Eine Kaution von CHF 3'000., wie von der Verteidigung im vorinstanzlichen Verfahren vorgeschlagen, steht, wie bereits die Vorinstanz richtig festhält, in keinem Verhältnis zur sehr viel höheren Deliktssumme und bietet abgesehen davon nicht hinreichend Gewähr dafür, dass sich der Beschwerdeführer den Behörden zur Verfügung hält, zumal dieser diese Kaution offensichtlich nicht aus eigenen Mitteln stellen könnte  er macht in der Beschwerde geltend, seine Freundin könne für ihn garantieren , und dass nicht erkennbar ist, dass ihn eine Drittkaution wirksam von einer Flucht abhalten könnte.</w:t>
      </w:r>
    </w:p>
    <w:p>
      <w:r>
        <w:t>Es sind somit keine milderen Massnahmen als die Anordnung bzw. Verlängerung von Sicherheitshaft ersichtlich.</w:t>
      </w:r>
    </w:p>
    <w:p>
      <w:r>
        <w:t>5.4Hinsichtlich der Haftdauer gilt es festzuhalten, dass sich der Beschwerdeführer seit dem 4. März 2021, und somit aktuell seit gut zweieinhalb Monaten, in Haft befindet. Bis zum Ablauf der Haft werden es knapp fünf Monate sein. Aufgrund des vorgeworfenen Sachverhalts und der von der Staatsanwaltschaft beantragten Freiheitsstrafe von 12 Monaten ist die Haft auch in zeitlicher Hinsicht nach wie vor verhältnismässig. Ob die (mögliche) Sanktion bedingt oder unbedingt ausgesprochen werden wird, spielt dabei im Übrigen keine Rolle (BGE 133 I 270 E. 3.4.2 S. 281 f.; AGE HB.20121.6 vom 3. März 2021 E. 6.4). Die Aufrechterhaltung der Haft ist daher nach wie vor verhältnismässig.</w:t>
      </w:r>
    </w:p>
    <w:p>
      <w:r>
        <w:rPr>
          <w:b/>
        </w:rPr>
        <w:t>E. 6</w:t>
      </w:r>
    </w:p>
    <w:p>
      <w:r>
        <w:t>6.1Aus dem Gesagten ergibt sich, dass die Beschwerde abzuweisen ist.</w:t>
      </w:r>
    </w:p>
    <w:p>
      <w:r>
        <w:t>6.2Bei diesem Ausgang des Verfahrens hat der Beschwerdeführer dessen ordentliche Kosten mit einer Gebühr von CHF 500. zu tragen (Art. 428 Abs. 1 StPO in Verbindung mit § 21 Abs. 2 des Gerichtsgebührenreglements [GGR, SG 154.810]).</w:t>
      </w:r>
    </w:p>
    <w:p>
      <w:r>
        <w:t>6.3Die amtliche Verteidigerin ist für ihre kurzen Bemühungen im vorliegenden vom Beschwerdeführer persönlich eingeleiteten Beschwerdeverfahren zu entschädigen, wobei der Aufwand mangels Aufstellung auf rund 30 Minuten geschätzt und zum üblichen Stundenansatz von CHF 200., einschliesslich Auslagen, zuzüglich Mehrwertsteuer, vergütet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