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HB.2020.29 vom 21. September 2020</w:t>
      </w:r>
    </w:p>
    <w:p>
      <w:r>
        <w:t>BS Appellationsgericht, 2020-09-21, DE</w:t>
      </w:r>
    </w:p>
    <w:p>
      <w:r>
        <w:rPr>
          <w:b/>
        </w:rPr>
        <w:t xml:space="preserve">Quelle: </w:t>
      </w:r>
      <w:r>
        <w:t>https://mcp.opencaselaw.ch/entscheid/bs_appellationsgericht_HB.2020.29</w:t>
      </w:r>
    </w:p>
    <w:p>
      <w:r>
        <w:t>FR: BS_APPELLATIONSGERICHT HB.2020.29 du 21 septembre 2020</w:t>
      </w:r>
    </w:p>
    <w:p>
      <w:r>
        <w:t>IT: BS_APPELLATIONSGERICHT HB.2020.29 del 21 settembre 2020</w:t>
      </w:r>
    </w:p>
    <w:p>
      <w:pPr>
        <w:pStyle w:val="Heading2"/>
      </w:pPr>
      <w:r>
        <w:t>Erwägungen</w:t>
      </w:r>
    </w:p>
    <w:p>
      <w:r>
        <w:rPr>
          <w:b/>
        </w:rPr>
        <w:t>E. 1</w:t>
      </w:r>
    </w:p>
    <w:p>
      <w:r>
        <w:t>Ziff. 1 des Gerichtsorganisationsgesetzes [GOG, SG 154.100]).</w:t>
      </w:r>
    </w:p>
    <w:p>
      <w:r>
        <w:t>1.2Das Rechtsmittel ist nach Art. 396 Abs. 1 StPO innert 10 Tagen nach Eröffnung des Entscheids schriftlich und begründet bei der Beschwerdeinstanz einzureichen. A____ hat seine Beschwerde persönlich verfasst. Praxisgemäss sind an die Begründung der Eingaben juristischer Laien keine allzu hohen Anforderungen zu stellen (vgl. AGE HB.2019.16 vom 27. März 2019, BES.2018.79 vom 4. Juni 2018 E. 1 mit Hinweisen). Die Beschwerde richtet sich «gegen die Verfügung vom 03.09.20 über 12 Wochen Sicherheitshaft». Zwar wird kein konkreter Antrag formuliert, es ist aber davon auszugehen, dass aufgrund der behaupteten Unschuld die unverzügliche Haftentlassung beantragt wird. Auf die frist- und formgerecht eingereichte Beschwerde ist somit einzutreten. Die Kognition des angerufenen Gerichts ist nach Art. 393 Abs. 2 StPO frei.</w:t>
      </w:r>
    </w:p>
    <w:p>
      <w:r>
        <w:rPr>
          <w:b/>
        </w:rPr>
        <w:t>E. 2</w:t>
      </w:r>
    </w:p>
    <w:p>
      <w:r>
        <w:t>Die Anordnung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versucht seine Unschuld zu belegen, und die Beschwerde richtet sich folglich primär gegen die Annahme des erforderlichen dringenden Tatverdachts.</w:t>
      </w:r>
    </w:p>
    <w:p>
      <w:r>
        <w:t>Für die Bejahung eines dringenden Tatverdachts ist lediglich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Beim Vorliegen der Anklageschrift gilt nach der Rechtsprechung die Voraussetzung des dringenden Tatverdachts vermutungsweise als erfüllt (vgl. BGer 1B_283/2016 vom 26. August 2016 E. 3 mit weiteren Hinweisen). Im vorliegenden Fall ist der erforderliche dringende Tatverdacht somit gegeben.</w:t>
      </w:r>
    </w:p>
    <w:p>
      <w:r>
        <w:t>3.2Der Beschwerdeführer äussert sich in seiner Beschwerde nicht explizit zu den vom Zwangsmassnahmengericht angenommen besonderen Haftgründen.</w:t>
      </w:r>
    </w:p>
    <w:p>
      <w:r>
        <w:t>3.2.1Die Annahme von Fluchtgefahr ist nicht zu beanstanden. Die Vorinstanz hat mit Recht festgehalten, dass sich die Fluchtgefahr insbesondere in Form des Untertauchens bereits dadurch manifestiert hat, dass sich der Beschwerdeführer während 1 ¼ Jahren unangemeldet in der Schweiz aufgehalten hat.</w:t>
      </w:r>
    </w:p>
    <w:p>
      <w:r>
        <w:t>3.2.2Es ist der Vorinstanz beizupflichten, dass der Beschwerdeführer sein Stalking-Verhalten gegenüber B____ bagatellisiert und zu befürchten ist, dass er ihr in Freiheit wieder in gleicher Manier nachstellen würde. Seine Eingaben im vorliegenden Beschwerdeverfahren nähren diese Befürchtungen. Die in der Beschwerde aufgestellte Behauptung, «B____ und ich wollen uns verloben», seine Interpretation, B____ habe ihn aus Liebe abgewiesen und schliesslich die unbehelfliche Argumentation, die beste Freundin der Anzeigestellerin habe ihm die Erlaubnis gegeben, B____ zu heiraten, spricht nicht nur für die Unbelehrbarkeit des Beschwerdeführers und die damit einhergehende Gefahr weiterer gleichgelagerter Straftaten, sondern auch für einen gewissen Realitätsverlust. Auch die Replik, in welcher der Beschwerdeführer zunächst beteuert, B____ inskünftig in Ruhe lassen zu wollen, vermag hieran nichts zu ändern, hält er doch in der gleichen Eingabe fest, er werde ihr verzeihen, «weil sie mich unglaublich liebt und für ihre Tochter braucht». Nach Annahme der Fluchtgefahr kann jedoch offenbleiben, ob auch Fortsetzungsgefahr gegeben ist.</w:t>
      </w:r>
    </w:p>
    <w:p>
      <w:r>
        <w:t>3.3Die bis zum 26. November 2020 dauernde Sicherheitshaft erweist sich angesichts der zur Anklage gebrachten Delikte als klar verhältnismässig. Die Annahme der Vorinstanz, dass innert dieser Frist die Hauptverhandlung durchgeführt werden dürfte, hat sich inzwischen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