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HB.2020.23 vom 25. August 2020</w:t>
      </w:r>
    </w:p>
    <w:p>
      <w:r>
        <w:t>BS Appellationsgericht, 2020-08-25, DE</w:t>
      </w:r>
    </w:p>
    <w:p>
      <w:r>
        <w:rPr>
          <w:b/>
        </w:rPr>
        <w:t xml:space="preserve">Quelle: </w:t>
      </w:r>
      <w:r>
        <w:t>https://mcp.opencaselaw.ch/entscheid/bs_appellationsgericht_HB.2020.23</w:t>
      </w:r>
    </w:p>
    <w:p>
      <w:r>
        <w:t>FR: BS_APPELLATIONSGERICHT HB.2020.23 du 25 août 2020</w:t>
      </w:r>
    </w:p>
    <w:p>
      <w:r>
        <w:t>IT: BS_APPELLATIONSGERICHT HB.2020.23 del 25 agosto 2020</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Die undatierte Eingabe des Beschwerdeführers gegen die Verfügung des ZMG vom 31. Juli 2020 ist am 10. August 2020 beim Appellationsgericht eingegangen.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 2 StPO frei und nicht auf Willkür beschränkt. Der Beschwerdeentscheid ergeht grundsätzlich im schriftlichen Verfahren (Art. 397 Abs. 1 StPO). Es liegen keine Anhaltspunkte vor, die ein Abweichen von der Regel notwendig erscheinen lassen.</w:t>
      </w:r>
    </w:p>
    <w:p>
      <w:r>
        <w:rPr>
          <w:b/>
        </w:rPr>
        <w:t>E. 2</w:t>
      </w:r>
    </w:p>
    <w:p>
      <w:r>
        <w:t>2.1Die Anordnung oder Verlängerung von Untersuchungshaft ist nach Art. 221 Abs. 1 StPO zulässig, wenn die beschuldigte Person eines Verbrechens oder Vergehens dringend verdächtig ist und zudem Flucht, Kollusions und Fortsetzungsgefahr besteht.</w:t>
      </w:r>
    </w:p>
    <w:p>
      <w:r>
        <w:rPr>
          <w:b/>
        </w:rPr>
        <w:t>E. 2.2</w:t>
      </w:r>
    </w:p>
    <w:p>
      <w:r>
        <w:t>2.2.1Der Beschwerdeführer bestreitet das Vorliegen eines dringenden Tatverdachts. Er sei zum fraglichen Zeitpunkt, der Nacht vom 4. auf den 5. Januar 2020, in Deutschland inhaftiert gewesen, weshalb er die Tat nicht habe begehen können.</w:t>
      </w:r>
    </w:p>
    <w:p>
      <w:r>
        <w:t>2.2.2Für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fortgeschritteneren Stadium der Ermittlungen.</w:t>
      </w:r>
    </w:p>
    <w:p>
      <w:r>
        <w:t>2.2.3Dem Beschwerdeführer wird vorgeworfen, in der Nacht vom 4. auf den 5. Januar 2020 zusammen mit anderen Personen B____ beraubt zu haben. Die Tathandlungen sollen sich dabei im Grenzgebiet  teilweise auf Deutschem und teilweise auf Schweizer Boden  zugetragen haben. Der Geschädigte hat am 10. März 2020 Strafanzeige gestellt. Er habe sich vor den Tätern, welche wissen würden, wo er wohne, gefürchtet und deswegen mit der Anzeige zugewartet (Polizeirapport vom 10. März 2020 S. 6). Als Auskunftsperson am 21. April 2020 zur Sache befragt, hat B____ den Beschwerdeführer bei der Fotoauswahlkonfronation als einem der Täter «sehr ähnlich» bezeichnet. Auf Nachfrage, warum er sich «so sicher» sei, hat er angegeben: «Der Blick und die Augen kamen mir sehr bekannt vor. Die Gesichtsform ist sehr ähnlich und die Augenbrauen kamen mir sehr bekannt vor» (Einvernahmeprotokoll vom 21. April 2020 S. 2). Bereits vor der Fotoauswahlkonfrontation hat B____ gegenüber der Polizei angegeben, er denke einer der Täter heisse «[...]» (Aktennotiz vom 6. April 2020). Damit sprechen die Erkennung durch den Geschädigten sowie der Hinweis auf seinen Namen für die Täterschaft des Beschwerdeführers. Der Hinweis des Beschwerdeführers, andere Personen auf dem Fotoauswahlbogen seien ihm optisch sehr ähnlich, vermögen das Resultat der Fotoauswahlkonfrontation nicht zu erschüttern. Im Gegenteil erscheint das Erkennen der Täterschaft durch B____ umso überzeugender, wenn er den Beschwerdeführer in einem Vergleich mit typähnlichen Personen wiedererkennt und erklären kann, aufgrund welcher spezifischer Merkmale er den Beschwerdeführer unter den typähnlichen Personen auswählt. Auch hat der Geschädigte einen Chatauszug sowie zwei Sprachnachrichten eingereicht, in welchen die beim angezeigten Vorfall ebenfalls anwesende C____ gemäss seinen Angaben kundtut, dass sie ihm bei der Wiedererlangung der ihm geraubten Summe behilflich sein wolle, weshalb sie Kontakt zu den Tätern aufgenommen habe. Die zu untersuchende Tat soll der Beschwerdeführer ausserdem zusammen mit D____ und einer anderen Person begangen haben. Zusammen mit D____ soll der Beschwerdeführer mutmasslich auch einen versuchten Einbruchsdiebstahl mit Sachbeschädigung sowie einen Diebstahl und eine Sachbeschädigung begangen haben (Aktenzeichen SW.2019.026101, SW.2020.017596; Aktennotiz vom 7. April 2020 und vom 12. August 2020). Der Beschwerdeführer reicht keine Belege betreffend seine vorgebrachte Inhaftierung in Deutschland zum Tatzeitpunkt ein, obwohl er bereits an der Verhandlung vor ZMG behauptet hat, dies sei ihm ohne Weiteres möglich (Prot. Verhandlung ZMG vom 31. Juli 2020 S. 5). Abklärungen seitens der Polizei haben ergeben, dass diese Angaben nicht stimmen. Zwar befand er sich tatsächlich Ende des Jahres 2019 sowie zu Beginn des Jahres 2020 insgesamt 5 Mal in der Schweiz und in Deutschland in Haft, indessen nicht zum inkriminierten Zeitpunkt (Aktennotiz vom 10. August 2020). Es handelt sich folglich um eine unbehelfliche Schutzbehauptung. Damit ist festzustellen, dass zum aktuellen Zeitpunkt ein für die Anordnung von Haft genügend dringlicher Tatverdacht vorliegt.</w:t>
      </w:r>
    </w:p>
    <w:p>
      <w:r>
        <w:rPr>
          <w:b/>
        </w:rPr>
        <w:t>E. 2.3</w:t>
      </w:r>
    </w:p>
    <w:p>
      <w:r>
        <w:t>2.3.1Die Vorinstanz ist vom Vorliegen des Haftgrunds der Fluchtgefahr ausgegangen. Fluchtgefahr gemäss Art. 221 Abs. 1 lit. a StPO liegt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a.a.O., Art. 221 StPO N 5).</w:t>
      </w:r>
    </w:p>
    <w:p>
      <w:r>
        <w:t>2.3.2Wie das ZMG dargelegt hat, ist der Beschwerdeführer deutscher Staatsangehöriger mit Wohnsitz in [...], Deutschland. Er bezieht in Deutschland Hartz 4 (Sozialhilfegeld) und arbeitet gemäss seinen Angaben im Café einer Tante in [...]. Zu der Schweiz hat er keine relevante Verbindung. Zwar gibt er an, dass seine Mutter in [...] und sein Vater in [...] wohnen würden. Er kennt allerdings weder die Adresse der Mutter noch die Adresse des Vaters (s. Personalienbogen und Einvernahme zur Person vom 29. Juli 2020). Eine feste Bindung zur Schweiz, aufgrund welcher davon auszugehen wäre, dass der Beschwerdeführer im Falle seiner Haftentlassung in der Schweiz bleibt, existiert damit nicht. Es ist vielmehr davon auszugehen, dass er im Falle seiner Freilassung an seinen Wohnort nach [...] zurückkehrt. Angesichts des gegen ihn erhobenen Vorwurfs des Raubs droht dem Beschwerdeführer eine Freiheitsstrafe von mindestens sechs Monaten (Art. 140 Strafgesetzbuch [StGB, SR 311.0]). Angesichts dieser Strafdrohung ist äusserst fraglich, ob er sich in Freiheit freiwillig dem Strafverfahren in der Schweiz stellt, zumal er als Deutscher Staatsangehöriger nicht ausgeliefert werden kann. Im Falle fehlenden Kooperierens wären deshalb weitere Prozesshandlungen via Rechtshilfeersuchen an die Deutschen Behörden in die Wege zu leiten. Dies würde einen unzumutbaren Mehraufwand produzieren und das Verfahren voraussichtlich massiv verzögern. Es ist mit anderen Worten davon auszugehen, dass sich der Beschwerdeführer in Freiheit den Schweizer Behörden für das weitere Strafverfahren nicht zur Verfügung hält. Fluchtgefahr ist damit gegeben.</w:t>
      </w:r>
    </w:p>
    <w:p>
      <w:r>
        <w:rPr>
          <w:b/>
        </w:rPr>
        <w:t>E. 2.4</w:t>
      </w:r>
    </w:p>
    <w:p>
      <w:r>
        <w:t>2.4.1Das ZMG hat auch das Vorliegen von Kollusionsgefahr bejaht.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2.4.2Der Vorwurf eines Raubs wiegt schwer. Der Beschwerdeführer soll dieses Verbrechen zusammen mit weiteren Beteiligten begangen haben. Er selber bestreitet vehement, am Raub zu Lasten des B____ teilgenommen zu haben (Einvernahme vom 29. Juli 2020). Der ebenfalls bereits zur Sache einvernommene D____ hat zum Vorwurf grösstenteils die Aussage verweigert (Einvernahme vom 29. Juli 2020 S. 14 ff.). Die Strafverfolgungsbehörden werden den genauen Tatbeitrag des Beschwerdeführers sowie die Beiträge seiner Mittäter im Rahmen der Strafuntersuchung noch zu ermitteln haben. Selbstredend ist die Art des Tatbeitrags für die Beurteilung der Teilnahmeform aber auch bei einer allfälligen Festlegung des Strafmasses von zentraler Bedeutung. Der Beschwerdeführer hat demnach ein grosses Interesse daran, auf zukünftige Aussagen von möglichen Belastungszeugen und von Mittätern einzuwirken. Eine Absprache und gegenseitige Einflussnahme unter den Beteiligten ist demnach zu verhindern, ebenso eine Kontaktaufnahme des Beschwerdeführers mit möglichen weiteren Zeugen. Daran ändert auch nichts, dass die Tatbeteiligten sich vor der Inhaftnahme theoretisch bereits hätten absprechen können, da nicht auszuschliessen ist, dass sie dies, solange ihnen kein konkretes Strafverfahren drohte, nicht gemacht haben oder sie sich aufgrund des Zeitablaufs nicht mehr an die Details einer eventuell bereits getroffenen Absprache erinnern. Die Kollusionsgefahr ist folglich erheblich.</w:t>
      </w:r>
    </w:p>
    <w:p>
      <w:r>
        <w:rPr>
          <w:b/>
        </w:rPr>
        <w:t>E. 3</w:t>
      </w:r>
    </w:p>
    <w:p>
      <w:r>
        <w:t>3.1Der Beschwerdeführer bestreitet zudem sinngemäss die Verhältnismässigkeit der Haft. 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Sicherheitshaft ist aufzuheben, sobald Ersatzmassnahmen zum gleichen Ziel führen (Art. 197 Abs. 1 lit. c und Art. 212 Abs. 2 lit. c StPO). Die Sicherheitshaft darf ausserdem nur solange erstreckt werden, als ihre Dauer nicht in grosse Nähe der konkret zu erwartenden Strafe rückt (Art. 212 Abs. 3 StPO; BGE 124 I 208 E. 6 S. 215).</w:t>
      </w:r>
    </w:p>
    <w:p>
      <w:r>
        <w:t>3.2Der Beschwerdeführer macht mit der Beschwerde wie bereits vor ZMG geltend, er habe eine schwangere Freundin. Diese Behauptung entbehrt jeglichen Nachweises und erstaunt, zumal er an der Einvernahme zur Person eine Freundin, geschweige denn eine Schwangerschaft, nicht erwähnt hat (Einvernahme zur Person vom 29. Juli 2020). Das Getrenntsein von Angehörigen und Freunden gehört aber ohnehin zum Wesen der Haft und begründet für sich allein keine Unverhältnismässigkeit. Soweit der Beschwerdeführer geltend macht, er werde seine Arbeit verlieren, ist festzustellen, dass er gemäss eigenen Angaben über keine Ausbildung verfügt, Sozialhilfeempfänger ist und lediglich Teilzeit im Café seiner Tante arbeitet. Die Inhaftierung hat damit keine unverhältnismässige Auswirkung auf seine Arbeitssituation und insbesondere keine Auswirkung auf seine berufliche Zukunft. Sie ist vor dem Hintergrund des laufenden Strafverfahrens wegen Raubs hinzunehmen. Angesichts des zu erwartenden potentiellen Strafmasses ist die Anordnung von 3 Monaten Untersuchungshaft ebenfalls ohne Weiteres verhältnismässig bzw. droht keine Überhaft. Mildere Massnahmen sind insbesondere angesichts der grossen Kollusionsgefahr nicht ersichtlich. Dies umso mehr, als die Schweizer Behörden ein allfälliges Kontaktverbot in Deutschland gar nicht durchsetzen könnten. Die Beschwerde gegen die angeordnete Untersuchungshaft ist demnach abzuweisen.</w:t>
      </w:r>
    </w:p>
    <w:p>
      <w:r>
        <w:rPr>
          <w:b/>
        </w:rPr>
        <w:t>E. 4</w:t>
      </w:r>
    </w:p>
    <w:p>
      <w:r>
        <w:t>Damit unterliegt der Beschwerdeführer im Beschwerdeverfahren vollumfänglich und hat dessen Kosten zu tragen (Art. 428 Abs. 1 StPO). Für die Einzelheiten dazu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