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HB.2020.21 vom 24. Juli 2020</w:t>
      </w:r>
    </w:p>
    <w:p>
      <w:r>
        <w:t>BS Appellationsgericht, 2020-07-24, DE</w:t>
      </w:r>
    </w:p>
    <w:p>
      <w:r>
        <w:rPr>
          <w:b/>
        </w:rPr>
        <w:t xml:space="preserve">Quelle: </w:t>
      </w:r>
      <w:r>
        <w:t>https://mcp.opencaselaw.ch/entscheid/bs_appellationsgericht_HB.2020.21</w:t>
      </w:r>
    </w:p>
    <w:p>
      <w:r>
        <w:t>FR: BS_APPELLATIONSGERICHT HB.2020.21 du 24 juillet 2020</w:t>
      </w:r>
    </w:p>
    <w:p>
      <w:r>
        <w:t>IT: BS_APPELLATIONSGERICHT HB.2020.21 del 24 luglio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2.9</w:t>
      </w:r>
    </w:p>
    <w:p>
      <w:r>
        <w:t>f. S. 17). Schliesslich gilt auch bei der Präventivhaft wegen Fortsetzungsgefahr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rPr>
          <w:b/>
        </w:rPr>
        <w:t>E. 3</w:t>
      </w:r>
    </w:p>
    <w:p>
      <w:r>
        <w:t>3.1Die Haftbeschwerde richtet sich nicht explizit gegen das Vorliegen eines dringenden Tatverdachts. Der Beschwerdeführer macht lediglich geltend, er habe nicht alle ihm vorgeworfenen Delikte zugestanden, so dass bis zu einer rechtskräftigen Verurteilung die Unschuldsvermutung gelte (Schreiben vom 28. Juli 2020 p. 1).</w:t>
      </w:r>
    </w:p>
    <w:p>
      <w:r>
        <w:t>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untersuchte Verhalten mit erheblicher Wahrscheinlichkeit die fraglichen Tatbestandsmerkmale erfüllen könnte (BGer 1B_329/2020 vom 15. Juli 2020 E. 2.1 mit Verweis auf BGE 143 IV 316 E. 3.1 S. 318; 330 E. 2.1 S. 333; je mit Hinweisen).</w:t>
      </w:r>
    </w:p>
    <w:p>
      <w:r>
        <w:t>3.3Dem Beschwerdeführer werden insgesamt 15 (teils versuchte) Einschleichdiebstähle im Raum Basel zur Last gelegt. Der Tatverdacht hinsichtlich der einzelnen Taten stützt sich auf eine Reihe von objektiven Beweise sowie teilweise auf die Aussagen von Zeugen. So wurde der Beschwerdeführer bei etlichen Taten auf Überwachungskameraaufzeichnungen festgehalten und identifiziert sowie vom Zeugen [...] erkannt. Zudem wurde er teilweise auf frischer Tat ertappt und trug bei seiner Anhaltung verdächtige Gegenstände auf sich, für die er keine plausible Erklärung abzugeben vermochte. Der bei sämtlichen zur Beurteilung stehenden Taten sehr ähnliche modus operandi deutet ebenfalls auf eine Täterschaft des Beschwerdeführers hin. In seinem Beschwerdeschreiben hat der Beschwerdeführer zwar die Anschuldigungen pauschal bestritten, sich jedoch gleichzeitig vorbehalten, die «aufgelisteten Delikte spähter zuzugeben» (p. 1) sowie geäussert, er möge nicht mehr stehlen (p. 2). In seiner Replik vom 10. August 2020 stellte er in Aussicht, dass er möglicherweise fünf der 15 vorgeworfenen Taten allenfalls zugeben werde («Wo ich aussagte bleibe ich auch dabei, möglich liegt bei zweitem keine Bestreitung oder eher ein Zugestehen der etwa fünf Taten vor»; p. 2). Dass er zu einem Teil der vorgeworfenen Delikte bisher die Aussage verweigert hat, vermag die erdrückende Beweislage nicht zu entkräften. So liegt auch bereits die Anklageschrift im Entwurf vor (vgl. Entwurf vom 24. April 2020), was ebenfalls für das Vorliegen eines dringenden Tatverdachts spricht. Die Vorinstanz ist somit zu Recht von einem dringenden Tatverdacht ausgegangen.</w:t>
      </w:r>
    </w:p>
    <w:p>
      <w:r>
        <w:rPr>
          <w:b/>
        </w:rPr>
        <w:t>E. 4</w:t>
      </w:r>
    </w:p>
    <w:p>
      <w:r>
        <w:t>4.1Die Vorinstanz hat erwogen, es bestehe Fortsetzungsgefahr. Der Beschwerdeführer sei einschlägig vorbestraft, womit das Erfordernis von Vortaten erfüllt sei. Zudem drohten vom arbeitslosen und drogensüchtigen und sozialhilfebeziehenden Beschwerdeführer auch in Zukunft Verbrechen oder schwere Vergehen, welche die Sicherheit anderer erhebliche gefährdeten. Schliesslich liege eine klar ungünstige Rückfallprognose vor. Damit seien sämtliche Voraussetzungen zur Annahme von Fortsetzungsgefahr erfüllt (Verfügung p. 3).</w:t>
      </w:r>
    </w:p>
    <w:p>
      <w:r>
        <w:t>4.2Wiederholungs- oder Fortsetzungsgefahr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(BGer 1B_6/2020 vom 29. Januar 2020 E. 2.2; BGE 143 IV 9 E. 2.2 S. 11 f. mit Hinweisen; BGer 1B_241/2017 vom 11. Juli 2017 E. 2.2).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w:t>
      </w:r>
    </w:p>
    <w:p>
      <w:r>
        <w:rPr>
          <w:b/>
        </w:rPr>
        <w:t>E. 4.3</w:t>
      </w:r>
    </w:p>
    <w:p>
      <w:r>
        <w:t>4.3.1Der Beschwerdeführer bestreitet das Vorliegen von Fortsetzungsgefahr. Es handle sich bei seinen Vortaten nur teilweise um einschlägigen Delinquenz; so sei er etwa wegen Graffittis der Sachbeschädigung schuldig erkannt worden. Die Vorstrafe wegen Diebstahls beziehe sich auf Ladendiebstähle, wogegen im aktuellen Verfahren Einschleich- bzw. Einbruchdiebstähle zur Debatte stünden. Da es sich nicht um gleichgelagerte Delikte handle, sei das Vortatenerfordernis nicht erfüllt (Beschwerde p. 1 f.).</w:t>
      </w:r>
    </w:p>
    <w:p>
      <w:r>
        <w:t>4.3.2Bei den in Art. 221 Abs. 1 lit. c StPO verlangten Vortaten muss es sich nicht um identische Delikte, sondern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 Forster, a.a.O., Art. 221 N 15 FN 62). Die bei einer Haftentlassung drohende Fortsetzung des gewerbsmässigen Diebstahls gemäss Art. 139 Ziff. 2 StGB stellt ein Verbrechen im Sinne von Art. 10 Abs. 2 StGB dar.</w:t>
      </w:r>
    </w:p>
    <w:p>
      <w:r>
        <w:t>4.3.3Der Beschwerdeführer wurde bereits am 18. Juli 2019 wegen mehrfachen Diebstahls verurteilt (vgl. Strafregisterauszug vom 27. März 2020 p. 2). Hinzu kommt das aktuell laufende Strafverfahren wegen gewerbsmässigen Diebstahls, mehrfacher (teilweise geringfügiger) Sachbeschädigung und mehrfachen (teilweise versuchten) Hausfriedensbruchs in insgesamt neun Fällen, welches kurz vor dem Abschluss steht (vgl. Entwurf Anklageschrift vom 24. April 2020). Damit ist das Vortatenerfordernis zweifelsohne erfüllt.</w:t>
      </w:r>
    </w:p>
    <w:p>
      <w:r>
        <w:rPr>
          <w:b/>
        </w:rPr>
        <w:t>E. 4.4</w:t>
      </w:r>
    </w:p>
    <w:p>
      <w:r>
        <w:t>4.4.1Für eine ungünstige Legalprognose spricht insbesondere, wenn die beschuldigte Person bereits zahlreiche Vortaten verübt und sich auch durch Vorstrafen nicht von der Fortsetzung ihrer deliktischen Tätigkeit hat abhalten lassen. Aus dem Strafregisterauszug vom 27. März 2020 geht hervor, dass der Beschwerdeführer einschlägig vorbestraft ist. Er wurde am 18. Juli 2019 wegen mehrfachen Diebstahls und Hausfriedensbruchs zu einer bedingten Geldstrafe verurteilt, welche ihn offenbar nicht von der Begehung weiterer Delikte abzuhalten vermochte. Im aktuellen Verfahren wird ihm vorgeworfen, in der Zeit zwischen 6. August 2019 und 23. Februar 2020 insgesamt neun (teilweise versuchte) Einschleichdiebstähle mit Hausfriedensbruch in der Region Basel verübt und dadurch einen Gesamtdeliktsbetrag von über CHF 8700. erzielt zu haben. Der Beschwerdeführer hat demnach bereits etliche Diebstähle und Hausfriedensbrüche begangen und unmittelbar nach der rechtskräftigen Verurteilung vom Juli 2019 bereits Anfang August 2019 weiter einschlägig delinquiert. Der Beschwerdeführer ist gemäss eigenen Angaben seit längerer Zeit betäubungsmittelabhängig und verfügt abgesehen von Unterstützungsleistungen der Sozialhilfe über keinerlei Einkommen. Wie die Vorinstanz zutreffend ausführt, ist er zur Finanzierung seines Drogenkonsums auf deliktische Einnahmequellen angewiesen (Verfügung p. 3). Angesichts dieser Umstände muss ihm eine ungünstige Rückfallprognose gestellt werden.</w:t>
      </w:r>
    </w:p>
    <w:p>
      <w:r>
        <w:t>4.4.2Der Beschwerdeführer hat etliche Delikte begangen. Zwar wurden die einzelnen Geschädigten nicht besonders schwer geschädigt, wenngleich die Taten  namentlich die Verunsicherung der von den Diebstählen Betroffenen sowie die daraus resultierenden Umtriebe  nicht bagatellisiert werden dürfen. Jedoch ist mit Blick auf die offensichtliche Tatsache, dass es sich bei den Taten des Beschwerdeführers um Beschaffungskriminalität handelte, mit grosser Wahrscheinlichkeit davon auszugehen, dass er bei fortbestehender Drogensucht auch nach einer Haftentlassung im gewohnten Stil weiter delinquieren wird. Der Beschwerdeführer beteuert in seinen Eingaben, er wolle nicht mehr stehlen und beabsichtige, sich einer Suchtberatung zu unterziehen, um seinen Kokainkonsum zu regulieren. Weiter erklärt er, eine Halbtagesstelle bei einem Recyclingbetrieb antreten zu können, zudem habe er seine Schulden zum grossen Teil saniert (Beschwerde p. 2 f., vgl. auch Replik p. 2: «Mein Wille ist stark, meine Worte ungelogen»). Der Beschwerdeführer legt zwar insgesamt glaubhaft dar, dass er nach einer Haftentlassung nicht mehr delinquieren möchte. Angesichts der langjährigen Vorgeschichte steht dennoch zu befürchten, dass es ihm ohne äussere Unterstützung bei der Veränderung seiner Lebensumstände nicht ohne weiteres gelingen wird, deliktsfrei zu leben. Namentlich das Fehlen eines sozialen Empfangsraums mit geregelten Strukturen dürfte es dem Beschwerdeführer erschweren, seine guten Vorsätze dauerhaft zu verwirklichen. Vor diesem Hintergrund hat die Vorinstanz das Bestehen von Fortsetzungsgefahr zutreffend bejaht.</w:t>
      </w:r>
    </w:p>
    <w:p>
      <w:r>
        <w:rPr>
          <w:b/>
        </w:rPr>
        <w:t>E. 5</w:t>
      </w:r>
    </w:p>
    <w:p>
      <w:r>
        <w:t>5.1Der Beschwerdeführer macht mit seinem seiner ergänzenden Eingabe vom 4. August 2020 im Sinne eines Eventualantrags geltend, er sei unter Auflage von Ersatzmassnahmen auf freien Fuss zu setzen. Konkret schlägt er das Tragen von Electronic Monitoring sowie das Durchführen von regelmässigen Drogentests vor.</w:t>
      </w:r>
    </w:p>
    <w:p>
      <w:r>
        <w:t>5.2Unter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5.3Das Zwangsmassnahmengericht hat die von der Staatsanwaltschaft für 12 Wochen beantragte Untersuchungshaft auf 8 Wochen beschränkt und damit zum Ausdruck gebracht, dass bis dahin die notwenigen Ermittlungen durchgeführt worden sein sollten (Verfügung p. 3 f.). Dieser Auffassung ist zu folgen.</w:t>
      </w:r>
    </w:p>
    <w:p>
      <w:r>
        <w:t>5.4Was die beantragten Ersatzmassnahmen angeht, ist festzustellen, dass der Beschwerdeführer in seinem Schreiben vom 27. Juli an die Sozialarbeiter [...] selbst festhält, er benötige einerseits Arbeit, welche ihm eine Tagestruktur gebe und anderseits eine Suchtbehandlung, um den Teufelskreis betreffend Beschaffungskriminalität zu durchbrechen. Der Beschwerdeführer ist arbeitslos und gemäss eigenen Angaben regelmässiger Kokainkonsument. Die von ihm nach einer Haftentlassung zu befürchtenden zukünftigen Delikte stehen ganz offensichtlich in direktem Zusammenhang mit der Arbeitslosigkeit, der daraus folgenden fehlenden Tagesstruktur sowie seiner Betäubungsmittelsucht. Durch die Anordnung von entsprechenden Weisungen kann der bestehenden Fortsetzungsgefahr im Sinne von milderen Massnahmen wirksam begegnet werden. Zum einen hat der Beschwerdeführer eine schriftliche Zusicherung einer Arbeitsstelle (ev. in geschütztem Rahmen) einzureichen. Weiter hat er sich unverzüglich einer Suchtbehandlung zu unterziehen. Hierzu hat er eine schriftliche Zusicherung der Abteilung Sucht oder der Ambulanz für Suchttherapie (AfS) oder einer anderen Institution, welche ambulante Therapien durchführt, einzureichen; erforderlich ist eine Bestätigung, wonach mit dem Beschwerdeführer erneut eine suchtspezifische Behandlung (inklusive regelmässige Urinproben) durchgeführt wird, ebenfalls schriftlich zu bestätigen ist die Vereinbarung eines ersten Termins inklusive Abnahme einer Urinprobe. Der Beschwerdeführer hat sich umgehend an die Bewährungshilfe Basel-Stadt, Elisabethenstrasse 53, 4051 Basel, zu wenden, damit diese ihm bei der Erfüllung der Auflagen, insbesondere der Beschaffung eines Arbeits- und Therapieplatzes behilflich sein kann. Schliesslich hat der Beschwerdeführer eine schriftliche Bestätigung einzureichen, wonach er nach wie vor Mieter der Wohnung [...] ist.</w:t>
      </w:r>
    </w:p>
    <w:p>
      <w:r>
        <w:rPr>
          <w:b/>
        </w:rPr>
        <w:t>E. 6</w:t>
      </w:r>
    </w:p>
    <w:p>
      <w:r>
        <w:t>6.1Aus diesen Erwägungen folgt, dass die Beschwerde teilweise gutzuheissen ist. Der Beschwerdeführer ist unter Auferlegung der dargelegten Ersatzmassnahmen aus der Untersuchungshaft zu entlassen, sobald die an ihn gestellten Bedingungen erfüllt sind.</w:t>
      </w:r>
    </w:p>
    <w:p>
      <w:r>
        <w:t>6.2Bei diesem Ausgang des Verfahrens werden mit Blick auf das teilweise Obsiegen des mittellosen Beschwerdeführers keine Kosten erhoben. Die amtliche Verteidigerin wird für ihre Bemühungen aus der Gerichtskasse entschädigt. Da keine Kostennote eingereicht wurde, ist ihr Aufwand praxisgemäss zu schätzen. Der Beschwerdeführer hat sowohl die Beschwerde mit nachträglicher Ergänzung sowie die Replik selbständig eingereicht, der Aufwand der Verteidigerin beschränkt sich somit auf ihr kurzes Schreiben vom 21. August 2020 (inklusive Rücksprache mit ihrem Klienten), für welches ein Aufwand von einer halben Stunde angemessen scheint. Dieser ist zum üblichen Stundenansatz von CHF 200. zu entschädigen. Der Beschwerdeführer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